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FFE95" w14:textId="77777777" w:rsidR="00415971" w:rsidRPr="00762182" w:rsidRDefault="008E6DD4">
      <w:pPr>
        <w:jc w:val="both"/>
        <w:rPr>
          <w:rFonts w:ascii="Arial" w:eastAsia="Arial" w:hAnsi="Arial" w:cs="Arial"/>
          <w:sz w:val="16"/>
          <w:szCs w:val="16"/>
        </w:rPr>
      </w:pPr>
      <w:bookmarkStart w:id="0" w:name="_Hlk177660921"/>
      <w:bookmarkEnd w:id="0"/>
      <w:r>
        <w:rPr>
          <w:rFonts w:ascii="Arial" w:hAnsi="Arial"/>
          <w:noProof/>
          <w:sz w:val="16"/>
          <w:szCs w:val="16"/>
          <w:lang w:val="ru-RU"/>
        </w:rPr>
        <w:drawing>
          <wp:anchor distT="57150" distB="57150" distL="57150" distR="57150" simplePos="0" relativeHeight="251659264" behindDoc="0" locked="0" layoutInCell="1" allowOverlap="1" wp14:anchorId="4357A876" wp14:editId="14E69488">
            <wp:simplePos x="0" y="0"/>
            <wp:positionH relativeFrom="column">
              <wp:posOffset>2586354</wp:posOffset>
            </wp:positionH>
            <wp:positionV relativeFrom="line">
              <wp:posOffset>-92075</wp:posOffset>
            </wp:positionV>
            <wp:extent cx="1143000" cy="833756"/>
            <wp:effectExtent l="0" t="0" r="0" b="0"/>
            <wp:wrapSquare wrapText="bothSides" distT="57150" distB="57150" distL="57150" distR="57150"/>
            <wp:docPr id="1073741825" name="officeArt object" descr="Picture 7"/>
            <wp:cNvGraphicFramePr/>
            <a:graphic xmlns:a="http://schemas.openxmlformats.org/drawingml/2006/main">
              <a:graphicData uri="http://schemas.openxmlformats.org/drawingml/2006/picture">
                <pic:pic xmlns:pic="http://schemas.openxmlformats.org/drawingml/2006/picture">
                  <pic:nvPicPr>
                    <pic:cNvPr id="1073741825" name="Picture 7" descr="Picture 7"/>
                    <pic:cNvPicPr>
                      <a:picLocks noChangeAspect="1"/>
                    </pic:cNvPicPr>
                  </pic:nvPicPr>
                  <pic:blipFill>
                    <a:blip r:embed="rId8"/>
                    <a:stretch>
                      <a:fillRect/>
                    </a:stretch>
                  </pic:blipFill>
                  <pic:spPr>
                    <a:xfrm>
                      <a:off x="0" y="0"/>
                      <a:ext cx="1143000" cy="833756"/>
                    </a:xfrm>
                    <a:prstGeom prst="rect">
                      <a:avLst/>
                    </a:prstGeom>
                    <a:ln w="12700" cap="flat">
                      <a:noFill/>
                      <a:miter lim="400000"/>
                    </a:ln>
                    <a:effectLst/>
                  </pic:spPr>
                </pic:pic>
              </a:graphicData>
            </a:graphic>
          </wp:anchor>
        </w:drawing>
      </w:r>
    </w:p>
    <w:p w14:paraId="330655B3" w14:textId="77777777" w:rsidR="00415971" w:rsidRPr="00762182" w:rsidRDefault="00415971">
      <w:pPr>
        <w:jc w:val="both"/>
        <w:rPr>
          <w:rFonts w:ascii="Arial" w:eastAsia="Arial" w:hAnsi="Arial" w:cs="Arial"/>
          <w:sz w:val="18"/>
          <w:szCs w:val="18"/>
        </w:rPr>
      </w:pPr>
    </w:p>
    <w:p w14:paraId="15127704" w14:textId="77777777" w:rsidR="00415971" w:rsidRPr="00762182" w:rsidRDefault="00415971">
      <w:pPr>
        <w:jc w:val="both"/>
        <w:rPr>
          <w:rFonts w:ascii="Arial" w:eastAsia="Arial" w:hAnsi="Arial" w:cs="Arial"/>
          <w:sz w:val="18"/>
          <w:szCs w:val="18"/>
        </w:rPr>
      </w:pPr>
    </w:p>
    <w:p w14:paraId="006C96C5" w14:textId="77777777" w:rsidR="00415971" w:rsidRPr="00762182" w:rsidRDefault="00415971">
      <w:pPr>
        <w:jc w:val="both"/>
        <w:rPr>
          <w:rFonts w:ascii="Arial" w:eastAsia="Arial" w:hAnsi="Arial" w:cs="Arial"/>
          <w:sz w:val="16"/>
          <w:szCs w:val="16"/>
        </w:rPr>
      </w:pPr>
    </w:p>
    <w:p w14:paraId="60E0AD86" w14:textId="77777777" w:rsidR="00415971" w:rsidRDefault="008E6DD4">
      <w:pPr>
        <w:jc w:val="center"/>
        <w:rPr>
          <w:rFonts w:ascii="Arial" w:hAnsi="Arial"/>
          <w:b/>
          <w:bCs/>
          <w:u w:val="single"/>
        </w:rPr>
      </w:pPr>
      <w:r>
        <w:rPr>
          <w:rFonts w:ascii="Arial" w:hAnsi="Arial"/>
          <w:b/>
          <w:bCs/>
          <w:u w:val="single"/>
        </w:rPr>
        <w:t>PRESS RELEASE</w:t>
      </w:r>
    </w:p>
    <w:p w14:paraId="6355B9BD" w14:textId="77777777" w:rsidR="006541EA" w:rsidRPr="00762182" w:rsidRDefault="006541EA">
      <w:pPr>
        <w:jc w:val="center"/>
        <w:rPr>
          <w:rFonts w:ascii="Arial" w:eastAsia="Arial" w:hAnsi="Arial" w:cs="Arial"/>
          <w:b/>
          <w:bCs/>
          <w:u w:val="single"/>
        </w:rPr>
      </w:pPr>
    </w:p>
    <w:p w14:paraId="0EB01A86" w14:textId="77777777" w:rsidR="008132F1" w:rsidRDefault="00ED00C5" w:rsidP="00ED00C5">
      <w:pPr>
        <w:jc w:val="center"/>
        <w:rPr>
          <w:rFonts w:ascii="Arial" w:hAnsi="Arial"/>
          <w:b/>
          <w:bCs/>
        </w:rPr>
      </w:pPr>
      <w:r>
        <w:rPr>
          <w:rFonts w:ascii="Arial" w:hAnsi="Arial"/>
          <w:b/>
          <w:bCs/>
        </w:rPr>
        <w:t xml:space="preserve">ROSINTER ANNOUNCES 14.1% INCREASE IN REVENUES AND 13.5% EBITDA GROWTH </w:t>
      </w:r>
    </w:p>
    <w:p w14:paraId="72687DF8" w14:textId="152384F3" w:rsidR="00ED00C5" w:rsidRPr="00103675" w:rsidRDefault="00ED00C5" w:rsidP="00ED00C5">
      <w:pPr>
        <w:jc w:val="center"/>
        <w:rPr>
          <w:rFonts w:ascii="Arial" w:hAnsi="Arial"/>
          <w:b/>
          <w:bCs/>
        </w:rPr>
      </w:pPr>
      <w:r>
        <w:rPr>
          <w:rFonts w:ascii="Arial" w:hAnsi="Arial"/>
          <w:b/>
          <w:bCs/>
        </w:rPr>
        <w:t>AT THE END OF THE 2023 FINANCIAL YEAR</w:t>
      </w:r>
    </w:p>
    <w:p w14:paraId="60ADE6DC" w14:textId="77777777" w:rsidR="00415971" w:rsidRPr="00530887" w:rsidRDefault="00415971">
      <w:pPr>
        <w:spacing w:after="0"/>
        <w:jc w:val="both"/>
        <w:rPr>
          <w:rFonts w:ascii="Arial" w:eastAsia="Arial" w:hAnsi="Arial" w:cs="Arial"/>
          <w:b/>
          <w:bCs/>
          <w:sz w:val="12"/>
          <w:szCs w:val="12"/>
        </w:rPr>
      </w:pPr>
    </w:p>
    <w:p w14:paraId="0A7E6948" w14:textId="140668C2" w:rsidR="00415971" w:rsidRDefault="008E6DD4">
      <w:pPr>
        <w:spacing w:after="0"/>
        <w:jc w:val="both"/>
        <w:rPr>
          <w:rFonts w:ascii="Arial" w:hAnsi="Arial"/>
          <w:strike/>
          <w:sz w:val="20"/>
          <w:szCs w:val="20"/>
        </w:rPr>
      </w:pPr>
      <w:r>
        <w:rPr>
          <w:rFonts w:ascii="Arial" w:hAnsi="Arial"/>
          <w:b/>
          <w:bCs/>
          <w:sz w:val="20"/>
          <w:szCs w:val="20"/>
        </w:rPr>
        <w:t>Moscow, 27</w:t>
      </w:r>
      <w:r w:rsidR="000211C5" w:rsidRPr="000211C5">
        <w:rPr>
          <w:rFonts w:ascii="Arial" w:hAnsi="Arial"/>
          <w:b/>
          <w:bCs/>
          <w:sz w:val="20"/>
          <w:szCs w:val="20"/>
          <w:vertAlign w:val="superscript"/>
        </w:rPr>
        <w:t>th</w:t>
      </w:r>
      <w:r>
        <w:rPr>
          <w:rFonts w:ascii="Arial" w:hAnsi="Arial"/>
          <w:b/>
          <w:bCs/>
          <w:sz w:val="20"/>
          <w:szCs w:val="20"/>
        </w:rPr>
        <w:t xml:space="preserve"> April 2024:</w:t>
      </w:r>
      <w:r>
        <w:rPr>
          <w:rFonts w:ascii="Arial" w:hAnsi="Arial"/>
          <w:sz w:val="20"/>
          <w:szCs w:val="20"/>
        </w:rPr>
        <w:t xml:space="preserve"> </w:t>
      </w:r>
      <w:proofErr w:type="spellStart"/>
      <w:r>
        <w:rPr>
          <w:rFonts w:ascii="Arial" w:hAnsi="Arial"/>
          <w:sz w:val="20"/>
          <w:szCs w:val="20"/>
        </w:rPr>
        <w:t>Rosinter</w:t>
      </w:r>
      <w:proofErr w:type="spellEnd"/>
      <w:r>
        <w:rPr>
          <w:rFonts w:ascii="Arial" w:hAnsi="Arial"/>
          <w:sz w:val="20"/>
          <w:szCs w:val="20"/>
        </w:rPr>
        <w:t xml:space="preserve"> Restaurants Holding PJSC (</w:t>
      </w:r>
      <w:proofErr w:type="spellStart"/>
      <w:r>
        <w:rPr>
          <w:rFonts w:ascii="Arial" w:hAnsi="Arial"/>
          <w:sz w:val="20"/>
          <w:szCs w:val="20"/>
        </w:rPr>
        <w:t>Rosinter</w:t>
      </w:r>
      <w:proofErr w:type="spellEnd"/>
      <w:r>
        <w:rPr>
          <w:rFonts w:ascii="Arial" w:hAnsi="Arial"/>
          <w:sz w:val="20"/>
          <w:szCs w:val="20"/>
        </w:rPr>
        <w:t xml:space="preserve">, </w:t>
      </w:r>
      <w:proofErr w:type="spellStart"/>
      <w:r>
        <w:rPr>
          <w:rFonts w:ascii="Arial" w:hAnsi="Arial"/>
          <w:sz w:val="20"/>
          <w:szCs w:val="20"/>
        </w:rPr>
        <w:t>Rosinter</w:t>
      </w:r>
      <w:proofErr w:type="spellEnd"/>
      <w:r>
        <w:rPr>
          <w:rFonts w:ascii="Arial" w:hAnsi="Arial"/>
          <w:sz w:val="20"/>
          <w:szCs w:val="20"/>
        </w:rPr>
        <w:t xml:space="preserve"> Restaurants, the Company), one of the largest restaurants holding companies in Russia (Moscow Exchange MICEX-RTS: stock ticker ROST) announces its 2023 operating and financial results in accordance with the international financial reporting standards. </w:t>
      </w:r>
    </w:p>
    <w:p w14:paraId="34341B25" w14:textId="4B51290B" w:rsidR="0041467C" w:rsidRDefault="0041467C">
      <w:pPr>
        <w:spacing w:after="0"/>
        <w:jc w:val="both"/>
        <w:rPr>
          <w:rFonts w:ascii="Arial" w:hAnsi="Arial"/>
          <w:strike/>
          <w:sz w:val="20"/>
          <w:szCs w:val="20"/>
        </w:rPr>
      </w:pPr>
      <w:r>
        <w:rPr>
          <w:rFonts w:ascii="Arial" w:hAnsi="Arial"/>
          <w:noProof/>
          <w:sz w:val="20"/>
          <w:szCs w:val="20"/>
          <w:lang w:val="ru-RU"/>
        </w:rPr>
        <mc:AlternateContent>
          <mc:Choice Requires="wps">
            <w:drawing>
              <wp:anchor distT="0" distB="0" distL="114300" distR="114300" simplePos="0" relativeHeight="251657728" behindDoc="0" locked="0" layoutInCell="1" allowOverlap="1" wp14:anchorId="12ABEFA6" wp14:editId="508DFDCF">
                <wp:simplePos x="0" y="0"/>
                <wp:positionH relativeFrom="margin">
                  <wp:posOffset>26670</wp:posOffset>
                </wp:positionH>
                <wp:positionV relativeFrom="paragraph">
                  <wp:posOffset>128270</wp:posOffset>
                </wp:positionV>
                <wp:extent cx="6286500" cy="1676400"/>
                <wp:effectExtent l="0" t="0" r="19050" b="19050"/>
                <wp:wrapNone/>
                <wp:docPr id="826453989" name="Прямоугольник: скругленные углы 2"/>
                <wp:cNvGraphicFramePr/>
                <a:graphic xmlns:a="http://schemas.openxmlformats.org/drawingml/2006/main">
                  <a:graphicData uri="http://schemas.microsoft.com/office/word/2010/wordprocessingShape">
                    <wps:wsp>
                      <wps:cNvSpPr/>
                      <wps:spPr>
                        <a:xfrm>
                          <a:off x="0" y="0"/>
                          <a:ext cx="6286500" cy="1676400"/>
                        </a:xfrm>
                        <a:prstGeom prst="roundRect">
                          <a:avLst>
                            <a:gd name="adj" fmla="val 12153"/>
                          </a:avLst>
                        </a:prstGeom>
                        <a:solidFill>
                          <a:srgbClr val="FFFFFF"/>
                        </a:solidFill>
                        <a:ln w="25400" cap="flat">
                          <a:solidFill>
                            <a:schemeClr val="accent6"/>
                          </a:solidFill>
                          <a:prstDash val="solid"/>
                          <a:round/>
                        </a:ln>
                        <a:effectLst/>
                        <a:sp3d/>
                      </wps:spPr>
                      <wps:style>
                        <a:lnRef idx="0">
                          <a:scrgbClr r="0" g="0" b="0"/>
                        </a:lnRef>
                        <a:fillRef idx="0">
                          <a:scrgbClr r="0" g="0" b="0"/>
                        </a:fillRef>
                        <a:effectRef idx="0">
                          <a:scrgbClr r="0" g="0" b="0"/>
                        </a:effectRef>
                        <a:fontRef idx="none"/>
                      </wps:style>
                      <wps:txbx>
                        <w:txbxContent>
                          <w:p w14:paraId="07AB0531" w14:textId="2E92E88F" w:rsidR="00740B07" w:rsidRPr="0029343B" w:rsidRDefault="00740B07" w:rsidP="00B43619">
                            <w:pPr>
                              <w:jc w:val="both"/>
                              <w:rPr>
                                <w:rFonts w:ascii="Arial" w:hAnsi="Arial" w:cs="Arial"/>
                                <w:b/>
                                <w:bCs/>
                                <w:color w:val="E36C0A" w:themeColor="accent6" w:themeShade="BF"/>
                                <w:sz w:val="20"/>
                                <w:szCs w:val="20"/>
                              </w:rPr>
                            </w:pPr>
                            <w:r>
                              <w:rPr>
                                <w:rFonts w:ascii="Arial" w:hAnsi="Arial"/>
                                <w:b/>
                                <w:bCs/>
                                <w:color w:val="E36C0A" w:themeColor="accent6" w:themeShade="BF"/>
                                <w:sz w:val="20"/>
                                <w:szCs w:val="20"/>
                              </w:rPr>
                              <w:t xml:space="preserve">This press release presents notes to financial statements before the application of IFRS 16 “Leases” as, in the Company's opinion, in this way the Holding Company’s financial situation is represented most accurately. Furthermore, in this press release the Holding Company presents non-IFRS financial measures that should be regarded as supplementary to those disclosed in the financial statements. </w:t>
                            </w:r>
                          </w:p>
                          <w:p w14:paraId="41ED9937" w14:textId="54373F4E" w:rsidR="00740B07" w:rsidRPr="0029343B" w:rsidRDefault="00740B07" w:rsidP="00B43619">
                            <w:pPr>
                              <w:jc w:val="both"/>
                              <w:rPr>
                                <w:rFonts w:ascii="Arial" w:hAnsi="Arial" w:cs="Arial"/>
                                <w:b/>
                                <w:bCs/>
                                <w:color w:val="E36C0A" w:themeColor="accent6" w:themeShade="BF"/>
                                <w:sz w:val="20"/>
                                <w:szCs w:val="20"/>
                              </w:rPr>
                            </w:pPr>
                            <w:r>
                              <w:rPr>
                                <w:rFonts w:ascii="Arial" w:hAnsi="Arial"/>
                                <w:b/>
                                <w:bCs/>
                                <w:color w:val="E36C0A" w:themeColor="accent6" w:themeShade="BF"/>
                                <w:sz w:val="20"/>
                                <w:szCs w:val="20"/>
                              </w:rPr>
                              <w:t>Consolidated statements of financial position, of profit and loss, and of cash flows, presented in the exhibit to this press release, have been prepared subject to the requirements of IFRS 16 “Leases”.</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ABEFA6" id="Прямоугольник: скругленные углы 2" o:spid="_x0000_s1026" style="position:absolute;left:0;text-align:left;margin-left:2.1pt;margin-top:10.1pt;width:495pt;height:13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9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" strokecolor="#f79646 [3209]" strokeweight="2pt">
                <v:textbox inset="1.27mm,1.27mm,1.27mm,1.27mm">
                  <w:txbxContent>
                    <w:p w14:paraId="07AB0531" w14:textId="2E92E88F" w:rsidR="00740B07" w:rsidRPr="0029343B" w:rsidRDefault="00740B07" w:rsidP="00B43619">
                      <w:pPr>
                        <w:jc w:val="both"/>
                        <w:rPr>
                          <w:rFonts w:ascii="Arial" w:hAnsi="Arial" w:cs="Arial"/>
                          <w:b/>
                          <w:bCs/>
                          <w:color w:val="E36C0A" w:themeColor="accent6" w:themeShade="BF"/>
                          <w:sz w:val="20"/>
                          <w:szCs w:val="20"/>
                        </w:rPr>
                      </w:pPr>
                      <w:r>
                        <w:rPr>
                          <w:rFonts w:ascii="Arial" w:hAnsi="Arial"/>
                          <w:b/>
                          <w:bCs/>
                          <w:color w:val="E36C0A" w:themeColor="accent6" w:themeShade="BF"/>
                          <w:sz w:val="20"/>
                          <w:szCs w:val="20"/>
                        </w:rPr>
                        <w:t xml:space="preserve">This press release presents notes to financial statements before the application of IFRS 16 “Leases” as, in the Company's opinion, in this way the Holding Company’s financial situation is represented most accurately. Furthermore, in this press release the Holding Company presents non-IFRS financial measures that should be regarded as supplementary to those disclosed in the financial statements. </w:t>
                      </w:r>
                    </w:p>
                    <w:p w14:paraId="41ED9937" w14:textId="54373F4E" w:rsidR="00740B07" w:rsidRPr="0029343B" w:rsidRDefault="00740B07" w:rsidP="00B43619">
                      <w:pPr>
                        <w:jc w:val="both"/>
                        <w:rPr>
                          <w:rFonts w:ascii="Arial" w:hAnsi="Arial" w:cs="Arial"/>
                          <w:b/>
                          <w:bCs/>
                          <w:color w:val="E36C0A" w:themeColor="accent6" w:themeShade="BF"/>
                          <w:sz w:val="20"/>
                          <w:szCs w:val="20"/>
                        </w:rPr>
                      </w:pPr>
                      <w:r>
                        <w:rPr>
                          <w:rFonts w:ascii="Arial" w:hAnsi="Arial"/>
                          <w:b/>
                          <w:bCs/>
                          <w:color w:val="E36C0A" w:themeColor="accent6" w:themeShade="BF"/>
                          <w:sz w:val="20"/>
                          <w:szCs w:val="20"/>
                        </w:rPr>
                        <w:t>Consolidated statements of financial position, of profit and loss, and of cash flows, presented in the exhibit to this press release, have been prepared subject to the requirements of IFRS 16 “Leases”.</w:t>
                      </w:r>
                    </w:p>
                  </w:txbxContent>
                </v:textbox>
                <w10:wrap anchorx="margin"/>
              </v:roundrect>
            </w:pict>
          </mc:Fallback>
        </mc:AlternateContent>
      </w:r>
    </w:p>
    <w:p w14:paraId="416C5011" w14:textId="1560AC45" w:rsidR="0041467C" w:rsidRDefault="0041467C">
      <w:pPr>
        <w:spacing w:after="0"/>
        <w:jc w:val="both"/>
        <w:rPr>
          <w:rFonts w:ascii="Arial" w:hAnsi="Arial"/>
          <w:strike/>
          <w:sz w:val="20"/>
          <w:szCs w:val="20"/>
        </w:rPr>
      </w:pPr>
    </w:p>
    <w:p w14:paraId="3E37A560" w14:textId="395F8AED" w:rsidR="0041467C" w:rsidRDefault="0041467C">
      <w:pPr>
        <w:spacing w:after="0"/>
        <w:jc w:val="both"/>
        <w:rPr>
          <w:rFonts w:ascii="Arial" w:hAnsi="Arial"/>
          <w:strike/>
          <w:sz w:val="20"/>
          <w:szCs w:val="20"/>
        </w:rPr>
      </w:pPr>
    </w:p>
    <w:p w14:paraId="07BE9F6F" w14:textId="575988CE" w:rsidR="0041467C" w:rsidRDefault="0041467C">
      <w:pPr>
        <w:spacing w:after="0"/>
        <w:jc w:val="both"/>
        <w:rPr>
          <w:rFonts w:ascii="Arial" w:hAnsi="Arial"/>
          <w:strike/>
          <w:sz w:val="20"/>
          <w:szCs w:val="20"/>
        </w:rPr>
      </w:pPr>
    </w:p>
    <w:p w14:paraId="3FBBCAF0" w14:textId="22653E45" w:rsidR="0041467C" w:rsidRDefault="0041467C">
      <w:pPr>
        <w:spacing w:after="0"/>
        <w:jc w:val="both"/>
        <w:rPr>
          <w:rFonts w:ascii="Arial" w:hAnsi="Arial"/>
          <w:strike/>
          <w:sz w:val="20"/>
          <w:szCs w:val="20"/>
        </w:rPr>
      </w:pPr>
    </w:p>
    <w:p w14:paraId="211291D1" w14:textId="0A07E0ED" w:rsidR="0041467C" w:rsidRDefault="0041467C">
      <w:pPr>
        <w:spacing w:after="0"/>
        <w:jc w:val="both"/>
        <w:rPr>
          <w:rFonts w:ascii="Arial" w:hAnsi="Arial"/>
          <w:strike/>
          <w:sz w:val="20"/>
          <w:szCs w:val="20"/>
        </w:rPr>
      </w:pPr>
    </w:p>
    <w:p w14:paraId="6380B126" w14:textId="6F7735A0" w:rsidR="0041467C" w:rsidRDefault="0041467C">
      <w:pPr>
        <w:spacing w:after="0"/>
        <w:jc w:val="both"/>
        <w:rPr>
          <w:rFonts w:ascii="Arial" w:hAnsi="Arial"/>
          <w:strike/>
          <w:sz w:val="20"/>
          <w:szCs w:val="20"/>
        </w:rPr>
      </w:pPr>
    </w:p>
    <w:p w14:paraId="68328A73" w14:textId="758296EC" w:rsidR="0041467C" w:rsidRDefault="0041467C">
      <w:pPr>
        <w:spacing w:after="0"/>
        <w:jc w:val="both"/>
        <w:rPr>
          <w:rFonts w:ascii="Arial" w:hAnsi="Arial"/>
          <w:strike/>
          <w:sz w:val="20"/>
          <w:szCs w:val="20"/>
        </w:rPr>
      </w:pPr>
    </w:p>
    <w:p w14:paraId="04ABD873" w14:textId="4F9B69A6" w:rsidR="0041467C" w:rsidRDefault="0041467C">
      <w:pPr>
        <w:spacing w:after="0"/>
        <w:jc w:val="both"/>
        <w:rPr>
          <w:rFonts w:ascii="Arial" w:hAnsi="Arial"/>
          <w:strike/>
          <w:sz w:val="20"/>
          <w:szCs w:val="20"/>
        </w:rPr>
      </w:pPr>
    </w:p>
    <w:p w14:paraId="2E999D17" w14:textId="3DFB1860" w:rsidR="00415971" w:rsidRDefault="00415971">
      <w:pPr>
        <w:spacing w:after="0"/>
        <w:jc w:val="both"/>
        <w:rPr>
          <w:rFonts w:ascii="Arial" w:eastAsia="Arial" w:hAnsi="Arial" w:cs="Arial"/>
          <w:strike/>
          <w:sz w:val="20"/>
          <w:szCs w:val="20"/>
        </w:rPr>
      </w:pPr>
    </w:p>
    <w:p w14:paraId="64E2FCA8" w14:textId="73039471" w:rsidR="0041467C" w:rsidRDefault="0041467C">
      <w:pPr>
        <w:spacing w:after="0"/>
        <w:jc w:val="both"/>
        <w:rPr>
          <w:rFonts w:ascii="Arial" w:eastAsia="Arial" w:hAnsi="Arial" w:cs="Arial"/>
          <w:strike/>
          <w:sz w:val="20"/>
          <w:szCs w:val="20"/>
        </w:rPr>
      </w:pPr>
    </w:p>
    <w:p w14:paraId="2E3DF70D" w14:textId="77777777" w:rsidR="0049098E" w:rsidRDefault="0049098E">
      <w:pPr>
        <w:widowControl w:val="0"/>
        <w:spacing w:after="0" w:line="240" w:lineRule="auto"/>
        <w:jc w:val="both"/>
        <w:rPr>
          <w:rFonts w:ascii="Arial" w:eastAsia="Arial" w:hAnsi="Arial" w:cs="Arial"/>
          <w:color w:val="auto"/>
          <w:sz w:val="12"/>
          <w:szCs w:val="12"/>
        </w:rPr>
      </w:pPr>
    </w:p>
    <w:p w14:paraId="3C6FED8E" w14:textId="5F7B930B" w:rsidR="00D321FD" w:rsidRPr="006F7E60" w:rsidRDefault="00D321FD">
      <w:pPr>
        <w:widowControl w:val="0"/>
        <w:spacing w:after="0" w:line="240" w:lineRule="auto"/>
        <w:jc w:val="both"/>
        <w:rPr>
          <w:rFonts w:ascii="Arial" w:hAnsi="Arial"/>
          <w:b/>
          <w:bCs/>
          <w:color w:val="E36C0A" w:themeColor="accent6" w:themeShade="BF"/>
          <w:sz w:val="20"/>
          <w:szCs w:val="20"/>
        </w:rPr>
      </w:pPr>
      <w:r>
        <w:rPr>
          <w:rFonts w:ascii="Arial" w:hAnsi="Arial"/>
          <w:b/>
          <w:bCs/>
          <w:color w:val="E36C0A" w:themeColor="accent6" w:themeShade="BF"/>
          <w:sz w:val="20"/>
          <w:szCs w:val="20"/>
        </w:rPr>
        <w:t>KEY FINANCIAL AND OPERATING RESULTS:</w:t>
      </w:r>
    </w:p>
    <w:p w14:paraId="4FEDFA5E" w14:textId="77777777" w:rsidR="00D321FD" w:rsidRPr="0029343B" w:rsidRDefault="00D321FD">
      <w:pPr>
        <w:widowControl w:val="0"/>
        <w:spacing w:after="0" w:line="240" w:lineRule="auto"/>
        <w:jc w:val="both"/>
        <w:rPr>
          <w:rFonts w:ascii="Arial" w:eastAsia="Arial" w:hAnsi="Arial" w:cs="Arial"/>
          <w:color w:val="auto"/>
          <w:sz w:val="12"/>
          <w:szCs w:val="12"/>
        </w:rPr>
      </w:pPr>
    </w:p>
    <w:p w14:paraId="5C45A3A5" w14:textId="27A0AF3E" w:rsidR="001506DA" w:rsidRPr="000E3100" w:rsidRDefault="000A3837" w:rsidP="00220B05">
      <w:pPr>
        <w:pStyle w:val="a6"/>
        <w:numPr>
          <w:ilvl w:val="0"/>
          <w:numId w:val="2"/>
        </w:numPr>
        <w:spacing w:line="276" w:lineRule="auto"/>
        <w:ind w:left="426" w:right="-8" w:hanging="426"/>
        <w:rPr>
          <w:rFonts w:ascii="Arial" w:eastAsia="Arial" w:hAnsi="Arial" w:cs="Arial"/>
          <w:color w:val="auto"/>
          <w:sz w:val="20"/>
          <w:szCs w:val="20"/>
        </w:rPr>
      </w:pPr>
      <w:bookmarkStart w:id="1" w:name="_Hlk70430748"/>
      <w:r>
        <w:rPr>
          <w:rFonts w:ascii="Arial" w:hAnsi="Arial"/>
          <w:color w:val="auto"/>
          <w:sz w:val="20"/>
          <w:szCs w:val="20"/>
        </w:rPr>
        <w:t xml:space="preserve">At the end of 2023, </w:t>
      </w:r>
      <w:proofErr w:type="gramStart"/>
      <w:r>
        <w:rPr>
          <w:rFonts w:ascii="Arial" w:hAnsi="Arial"/>
          <w:color w:val="auto"/>
          <w:sz w:val="20"/>
          <w:szCs w:val="20"/>
        </w:rPr>
        <w:t>EBITDA</w:t>
      </w:r>
      <w:r>
        <w:rPr>
          <w:color w:val="auto"/>
          <w:vertAlign w:val="superscript"/>
        </w:rPr>
        <w:t>[</w:t>
      </w:r>
      <w:proofErr w:type="gramEnd"/>
      <w:r>
        <w:rPr>
          <w:color w:val="auto"/>
          <w:vertAlign w:val="superscript"/>
        </w:rPr>
        <w:t>2]</w:t>
      </w:r>
      <w:r>
        <w:rPr>
          <w:rFonts w:ascii="Arial" w:hAnsi="Arial"/>
          <w:color w:val="auto"/>
          <w:sz w:val="20"/>
          <w:szCs w:val="20"/>
        </w:rPr>
        <w:t xml:space="preserve"> before impairment and write-offs increased by 13.5%, (or by RUB 93 million, against 2022, to amount to RUB 781 million. Compared with the pre-pandemic 2019, in 2023 EBITDA grew by 62.6%. </w:t>
      </w:r>
    </w:p>
    <w:p w14:paraId="3E971193" w14:textId="77777777" w:rsidR="00D321FD" w:rsidRPr="004B3868" w:rsidRDefault="00D321FD" w:rsidP="00220B05">
      <w:pPr>
        <w:pStyle w:val="a6"/>
        <w:spacing w:line="276" w:lineRule="auto"/>
        <w:ind w:left="426" w:right="-8" w:hanging="426"/>
        <w:rPr>
          <w:rFonts w:ascii="Arial" w:eastAsia="Arial" w:hAnsi="Arial" w:cs="Arial"/>
          <w:color w:val="auto"/>
          <w:sz w:val="20"/>
          <w:szCs w:val="20"/>
          <w:lang w:val="ru-RU"/>
        </w:rPr>
      </w:pPr>
    </w:p>
    <w:p w14:paraId="6BCEA0F4" w14:textId="79104887" w:rsidR="00D321FD" w:rsidRPr="00220B05" w:rsidRDefault="00577FE4" w:rsidP="00220B05">
      <w:pPr>
        <w:pStyle w:val="a6"/>
        <w:numPr>
          <w:ilvl w:val="0"/>
          <w:numId w:val="9"/>
        </w:numPr>
        <w:ind w:left="426" w:hanging="426"/>
        <w:rPr>
          <w:rFonts w:ascii="Arial" w:eastAsia="Arial" w:hAnsi="Arial" w:cs="Arial"/>
          <w:color w:val="auto"/>
          <w:sz w:val="20"/>
          <w:szCs w:val="20"/>
        </w:rPr>
      </w:pPr>
      <w:r>
        <w:rPr>
          <w:rFonts w:ascii="Arial" w:hAnsi="Arial"/>
          <w:color w:val="auto"/>
          <w:sz w:val="20"/>
          <w:szCs w:val="20"/>
        </w:rPr>
        <w:t xml:space="preserve">In 2023, </w:t>
      </w:r>
      <w:proofErr w:type="spellStart"/>
      <w:r>
        <w:rPr>
          <w:rFonts w:ascii="Arial" w:hAnsi="Arial"/>
          <w:color w:val="auto"/>
          <w:sz w:val="20"/>
          <w:szCs w:val="20"/>
        </w:rPr>
        <w:t>Rosinter’s</w:t>
      </w:r>
      <w:proofErr w:type="spellEnd"/>
      <w:r>
        <w:rPr>
          <w:rFonts w:ascii="Arial" w:hAnsi="Arial"/>
          <w:color w:val="auto"/>
          <w:sz w:val="20"/>
          <w:szCs w:val="20"/>
        </w:rPr>
        <w:t xml:space="preserve"> revenue </w:t>
      </w:r>
      <w:r>
        <w:rPr>
          <w:color w:val="auto"/>
          <w:vertAlign w:val="superscript"/>
        </w:rPr>
        <w:t xml:space="preserve">[1] </w:t>
      </w:r>
      <w:r>
        <w:rPr>
          <w:rFonts w:ascii="Arial" w:hAnsi="Arial"/>
          <w:color w:val="auto"/>
          <w:sz w:val="20"/>
          <w:szCs w:val="20"/>
        </w:rPr>
        <w:t>grew by 14.1% to RUB 7,166 million against 2022. The revenue growth was thanks to the planned business development programme, menu updates, efforts to improve the customer service quality, and brand promotion activities</w:t>
      </w:r>
      <w:r>
        <w:rPr>
          <w:rFonts w:ascii="Arial" w:hAnsi="Arial"/>
          <w:iCs/>
          <w:sz w:val="20"/>
          <w:szCs w:val="20"/>
        </w:rPr>
        <w:t xml:space="preserve">. </w:t>
      </w:r>
    </w:p>
    <w:p w14:paraId="343757D5" w14:textId="77777777" w:rsidR="00220B05" w:rsidRPr="00313A4E" w:rsidRDefault="00220B05" w:rsidP="00220B05">
      <w:pPr>
        <w:pStyle w:val="a6"/>
        <w:ind w:left="426"/>
        <w:rPr>
          <w:rFonts w:ascii="Arial" w:eastAsia="Arial" w:hAnsi="Arial" w:cs="Arial"/>
          <w:color w:val="auto"/>
          <w:sz w:val="20"/>
          <w:szCs w:val="20"/>
          <w:lang w:val="en-US"/>
        </w:rPr>
      </w:pPr>
    </w:p>
    <w:bookmarkEnd w:id="1"/>
    <w:p w14:paraId="01B2E2B1" w14:textId="40F39CCD" w:rsidR="001506DA" w:rsidRPr="00D321FD" w:rsidRDefault="00126087" w:rsidP="00220B05">
      <w:pPr>
        <w:pStyle w:val="a6"/>
        <w:numPr>
          <w:ilvl w:val="0"/>
          <w:numId w:val="2"/>
        </w:numPr>
        <w:spacing w:line="276" w:lineRule="auto"/>
        <w:ind w:left="426" w:right="-8" w:hanging="426"/>
        <w:rPr>
          <w:rFonts w:ascii="Arial" w:eastAsia="Arial" w:hAnsi="Arial" w:cs="Arial"/>
          <w:strike/>
          <w:color w:val="auto"/>
          <w:sz w:val="20"/>
          <w:szCs w:val="20"/>
        </w:rPr>
      </w:pPr>
      <w:r>
        <w:rPr>
          <w:rFonts w:ascii="Arial" w:hAnsi="Arial"/>
          <w:color w:val="auto"/>
          <w:sz w:val="20"/>
          <w:szCs w:val="20"/>
        </w:rPr>
        <w:t xml:space="preserve">Net profits grew by 9.8% (from RUB 20.2 million in 2022 to RUB 22.1 million in 2023). According to </w:t>
      </w:r>
      <w:proofErr w:type="spellStart"/>
      <w:r>
        <w:rPr>
          <w:rFonts w:ascii="Arial" w:hAnsi="Arial"/>
          <w:color w:val="auto"/>
          <w:sz w:val="20"/>
          <w:szCs w:val="20"/>
        </w:rPr>
        <w:t>Rosinter’s</w:t>
      </w:r>
      <w:proofErr w:type="spellEnd"/>
      <w:r>
        <w:rPr>
          <w:rFonts w:ascii="Arial" w:hAnsi="Arial"/>
          <w:color w:val="auto"/>
          <w:sz w:val="20"/>
          <w:szCs w:val="20"/>
        </w:rPr>
        <w:t xml:space="preserve"> estimates, net profits net of the effect of exchange rate differences amounted to RUB 74.5 million.</w:t>
      </w:r>
    </w:p>
    <w:p w14:paraId="2ED3207D" w14:textId="77777777" w:rsidR="00D321FD" w:rsidRPr="00313A4E" w:rsidRDefault="00D321FD" w:rsidP="00220B05">
      <w:pPr>
        <w:pStyle w:val="a6"/>
        <w:ind w:left="426" w:hanging="426"/>
        <w:rPr>
          <w:rFonts w:ascii="Arial" w:eastAsia="Arial" w:hAnsi="Arial" w:cs="Arial"/>
          <w:strike/>
          <w:color w:val="auto"/>
          <w:sz w:val="20"/>
          <w:szCs w:val="20"/>
          <w:lang w:val="en-US"/>
        </w:rPr>
      </w:pPr>
    </w:p>
    <w:p w14:paraId="42E2482C" w14:textId="1B758983" w:rsidR="001506DA" w:rsidRPr="003B1DDD" w:rsidRDefault="00126087" w:rsidP="00220B05">
      <w:pPr>
        <w:pStyle w:val="a6"/>
        <w:numPr>
          <w:ilvl w:val="0"/>
          <w:numId w:val="2"/>
        </w:numPr>
        <w:spacing w:line="276" w:lineRule="auto"/>
        <w:ind w:left="426" w:right="-8" w:hanging="426"/>
        <w:rPr>
          <w:rFonts w:ascii="Arial" w:hAnsi="Arial"/>
          <w:color w:val="auto"/>
          <w:sz w:val="20"/>
          <w:szCs w:val="20"/>
        </w:rPr>
      </w:pPr>
      <w:r>
        <w:rPr>
          <w:rFonts w:ascii="Arial" w:hAnsi="Arial"/>
          <w:color w:val="auto"/>
          <w:sz w:val="20"/>
          <w:szCs w:val="20"/>
        </w:rPr>
        <w:t xml:space="preserve">Amid the high inflation rates in 2023 (up to 22% according to expert estimates), </w:t>
      </w:r>
      <w:proofErr w:type="spellStart"/>
      <w:r>
        <w:rPr>
          <w:rFonts w:ascii="Arial" w:hAnsi="Arial"/>
          <w:color w:val="auto"/>
          <w:sz w:val="20"/>
          <w:szCs w:val="20"/>
        </w:rPr>
        <w:t>Rosinter</w:t>
      </w:r>
      <w:proofErr w:type="spellEnd"/>
      <w:r>
        <w:rPr>
          <w:rFonts w:ascii="Arial" w:hAnsi="Arial"/>
          <w:color w:val="auto"/>
          <w:sz w:val="20"/>
          <w:szCs w:val="20"/>
        </w:rPr>
        <w:t xml:space="preserve"> managed to maintain its costs of products, salaries and lease (as a percentage of the revenues) at the level of 2022.</w:t>
      </w:r>
    </w:p>
    <w:p w14:paraId="396F1AA2" w14:textId="77777777" w:rsidR="00D321FD" w:rsidRPr="00FB2F94" w:rsidRDefault="00D321FD" w:rsidP="00D321FD">
      <w:pPr>
        <w:ind w:right="-8"/>
        <w:rPr>
          <w:rFonts w:ascii="Arial" w:eastAsia="Arial" w:hAnsi="Arial" w:cs="Arial"/>
          <w:b/>
          <w:bCs/>
          <w:sz w:val="20"/>
          <w:szCs w:val="20"/>
        </w:rPr>
      </w:pPr>
    </w:p>
    <w:p w14:paraId="0A962BC3" w14:textId="0D15B469" w:rsidR="00135D65" w:rsidRPr="006F7E60" w:rsidRDefault="00EF5E0B" w:rsidP="00D321FD">
      <w:pPr>
        <w:ind w:right="-8"/>
        <w:rPr>
          <w:rFonts w:ascii="Arial" w:eastAsia="Arial" w:hAnsi="Arial" w:cs="Arial"/>
          <w:b/>
          <w:bCs/>
          <w:color w:val="E36C0A" w:themeColor="accent6" w:themeShade="BF"/>
          <w:sz w:val="20"/>
          <w:szCs w:val="20"/>
        </w:rPr>
      </w:pPr>
      <w:r>
        <w:rPr>
          <w:rFonts w:ascii="Arial" w:hAnsi="Arial"/>
          <w:b/>
          <w:bCs/>
          <w:color w:val="E36C0A" w:themeColor="accent6" w:themeShade="BF"/>
          <w:sz w:val="20"/>
          <w:szCs w:val="20"/>
        </w:rPr>
        <w:t>OPERATING RESULTS BY BUSINESS UNITS:</w:t>
      </w:r>
    </w:p>
    <w:p w14:paraId="09F8B067" w14:textId="1DD30035" w:rsidR="00ED00C5" w:rsidRPr="00DF4687" w:rsidRDefault="00ED00C5" w:rsidP="00DF4687">
      <w:pPr>
        <w:ind w:right="-8"/>
        <w:jc w:val="both"/>
        <w:rPr>
          <w:rFonts w:ascii="Arial" w:eastAsia="Times New Roman" w:hAnsi="Arial" w:cs="Times New Roman"/>
          <w:b/>
          <w:bCs/>
          <w:color w:val="auto"/>
          <w:sz w:val="20"/>
          <w:szCs w:val="20"/>
        </w:rPr>
      </w:pPr>
      <w:r>
        <w:rPr>
          <w:rFonts w:ascii="Arial" w:hAnsi="Arial"/>
          <w:b/>
          <w:bCs/>
          <w:color w:val="auto"/>
          <w:sz w:val="20"/>
          <w:szCs w:val="20"/>
        </w:rPr>
        <w:t xml:space="preserve">Restaurant business in city locations </w:t>
      </w:r>
    </w:p>
    <w:p w14:paraId="46DBE4AA" w14:textId="525BCD57" w:rsidR="00FB080C" w:rsidRPr="00DF4687" w:rsidRDefault="00135D65" w:rsidP="00DF4687">
      <w:pPr>
        <w:autoSpaceDE w:val="0"/>
        <w:autoSpaceDN w:val="0"/>
        <w:adjustRightInd w:val="0"/>
        <w:spacing w:after="0"/>
        <w:jc w:val="both"/>
        <w:rPr>
          <w:rFonts w:ascii="Arial" w:eastAsia="Times New Roman" w:hAnsi="Arial" w:cs="Times New Roman"/>
          <w:color w:val="auto"/>
          <w:sz w:val="20"/>
          <w:szCs w:val="20"/>
        </w:rPr>
      </w:pPr>
      <w:r>
        <w:rPr>
          <w:rFonts w:ascii="Arial" w:hAnsi="Arial"/>
          <w:color w:val="auto"/>
          <w:sz w:val="20"/>
          <w:szCs w:val="20"/>
        </w:rPr>
        <w:t xml:space="preserve">In 2023, revenues of </w:t>
      </w:r>
      <w:proofErr w:type="spellStart"/>
      <w:r>
        <w:rPr>
          <w:rFonts w:ascii="Arial" w:hAnsi="Arial"/>
          <w:color w:val="auto"/>
          <w:sz w:val="20"/>
          <w:szCs w:val="20"/>
        </w:rPr>
        <w:t>Rosinter’s</w:t>
      </w:r>
      <w:proofErr w:type="spellEnd"/>
      <w:r>
        <w:rPr>
          <w:rFonts w:ascii="Arial" w:hAnsi="Arial"/>
          <w:color w:val="auto"/>
          <w:sz w:val="20"/>
          <w:szCs w:val="20"/>
        </w:rPr>
        <w:t xml:space="preserve"> city restaurants grew by 5.3% against 2022. The growth was thanks to the recovery of traffic in malls where most of </w:t>
      </w:r>
      <w:proofErr w:type="spellStart"/>
      <w:r>
        <w:rPr>
          <w:rFonts w:ascii="Arial" w:hAnsi="Arial"/>
          <w:color w:val="auto"/>
          <w:sz w:val="20"/>
          <w:szCs w:val="20"/>
        </w:rPr>
        <w:t>Rosinter’s</w:t>
      </w:r>
      <w:proofErr w:type="spellEnd"/>
      <w:r>
        <w:rPr>
          <w:rFonts w:ascii="Arial" w:hAnsi="Arial"/>
          <w:color w:val="auto"/>
          <w:sz w:val="20"/>
          <w:szCs w:val="20"/>
        </w:rPr>
        <w:t xml:space="preserve"> restaurants are concentrated, as well as due to an increase in consumption.  The highest growth in the revenues was demonstrated by the brands such as Shikari (14% to 2022), IL Patio (8% to 2022) and Planet Sushi (6% to 2022).  </w:t>
      </w:r>
    </w:p>
    <w:p w14:paraId="39F27593" w14:textId="77777777" w:rsidR="00ED00C5" w:rsidRPr="00DF4687" w:rsidRDefault="00ED00C5" w:rsidP="00DF4687">
      <w:pPr>
        <w:autoSpaceDE w:val="0"/>
        <w:autoSpaceDN w:val="0"/>
        <w:adjustRightInd w:val="0"/>
        <w:spacing w:after="0"/>
        <w:jc w:val="both"/>
        <w:rPr>
          <w:rFonts w:ascii="Arial" w:eastAsia="Times New Roman" w:hAnsi="Arial" w:cs="Times New Roman"/>
          <w:color w:val="auto"/>
          <w:sz w:val="20"/>
          <w:szCs w:val="20"/>
        </w:rPr>
      </w:pPr>
    </w:p>
    <w:p w14:paraId="0F65F809" w14:textId="475E5592" w:rsidR="009200B3" w:rsidRPr="00DF4687" w:rsidRDefault="001C6312" w:rsidP="00DF4687">
      <w:pPr>
        <w:autoSpaceDE w:val="0"/>
        <w:autoSpaceDN w:val="0"/>
        <w:adjustRightInd w:val="0"/>
        <w:spacing w:after="0"/>
        <w:jc w:val="both"/>
        <w:rPr>
          <w:rFonts w:ascii="Arial" w:eastAsia="Times New Roman" w:hAnsi="Arial" w:cs="Times New Roman"/>
          <w:color w:val="auto"/>
          <w:sz w:val="20"/>
          <w:szCs w:val="20"/>
        </w:rPr>
      </w:pPr>
      <w:r>
        <w:rPr>
          <w:rFonts w:ascii="Arial" w:hAnsi="Arial"/>
          <w:color w:val="auto"/>
          <w:sz w:val="20"/>
          <w:szCs w:val="20"/>
        </w:rPr>
        <w:lastRenderedPageBreak/>
        <w:t xml:space="preserve">In 2022-2023, </w:t>
      </w:r>
      <w:proofErr w:type="spellStart"/>
      <w:r>
        <w:rPr>
          <w:rFonts w:ascii="Arial" w:hAnsi="Arial"/>
          <w:color w:val="auto"/>
          <w:sz w:val="20"/>
          <w:szCs w:val="20"/>
        </w:rPr>
        <w:t>Rosinter’s</w:t>
      </w:r>
      <w:proofErr w:type="spellEnd"/>
      <w:r>
        <w:rPr>
          <w:rFonts w:ascii="Arial" w:hAnsi="Arial"/>
          <w:color w:val="auto"/>
          <w:sz w:val="20"/>
          <w:szCs w:val="20"/>
        </w:rPr>
        <w:t xml:space="preserve"> strategic focus was on the implementation of the programme on improving operational efficiency and on developing regional business. By the end of 2023, all restaurants had seen substantial growth of revenues and transactions. In Siberia (Novosibirsk, Krasnoyarsk and Omsk), revenues increased by 14% against 2022, and transactions grew by 20%. </w:t>
      </w:r>
    </w:p>
    <w:p w14:paraId="593C4757" w14:textId="77777777" w:rsidR="00ED00C5" w:rsidRPr="00DF4687" w:rsidRDefault="00ED00C5" w:rsidP="00DF4687">
      <w:pPr>
        <w:autoSpaceDE w:val="0"/>
        <w:autoSpaceDN w:val="0"/>
        <w:adjustRightInd w:val="0"/>
        <w:spacing w:after="0"/>
        <w:jc w:val="both"/>
        <w:rPr>
          <w:rFonts w:ascii="Arial" w:eastAsia="Times New Roman" w:hAnsi="Arial" w:cs="Times New Roman"/>
          <w:color w:val="auto"/>
          <w:sz w:val="20"/>
          <w:szCs w:val="20"/>
        </w:rPr>
      </w:pPr>
    </w:p>
    <w:p w14:paraId="5D85A18D" w14:textId="77777777" w:rsidR="00D321FD" w:rsidRPr="00DF4687" w:rsidRDefault="00135D65" w:rsidP="00135D65">
      <w:pPr>
        <w:jc w:val="both"/>
        <w:rPr>
          <w:rFonts w:ascii="Arial" w:eastAsia="Times New Roman" w:hAnsi="Arial" w:cs="Times New Roman"/>
          <w:b/>
          <w:bCs/>
          <w:color w:val="auto"/>
          <w:sz w:val="20"/>
          <w:szCs w:val="20"/>
        </w:rPr>
      </w:pPr>
      <w:r>
        <w:rPr>
          <w:rFonts w:ascii="Arial" w:hAnsi="Arial"/>
          <w:b/>
          <w:bCs/>
          <w:color w:val="auto"/>
          <w:sz w:val="20"/>
          <w:szCs w:val="20"/>
        </w:rPr>
        <w:t>Restaurant business at airports and railway stations</w:t>
      </w:r>
    </w:p>
    <w:p w14:paraId="3C1D3E3E" w14:textId="14572CD9" w:rsidR="00BE7CD9" w:rsidRPr="000C2D6D" w:rsidRDefault="007F3EFC" w:rsidP="00DF4687">
      <w:pPr>
        <w:jc w:val="both"/>
        <w:rPr>
          <w:rFonts w:ascii="Arial" w:eastAsia="Times New Roman" w:hAnsi="Arial" w:cs="Times New Roman"/>
          <w:color w:val="auto"/>
          <w:sz w:val="20"/>
          <w:szCs w:val="20"/>
        </w:rPr>
      </w:pPr>
      <w:r>
        <w:rPr>
          <w:rFonts w:ascii="Arial" w:hAnsi="Arial"/>
          <w:color w:val="auto"/>
          <w:sz w:val="20"/>
          <w:szCs w:val="20"/>
        </w:rPr>
        <w:t xml:space="preserve">Revenues of restaurants located at airports and railway stations grew by 28% against 2022; revenues of comparable restaurants grew by 20%. EBITDA grew by 38% against 2022. The Company performed so well even though some of the terminals where </w:t>
      </w:r>
      <w:proofErr w:type="spellStart"/>
      <w:r>
        <w:rPr>
          <w:rFonts w:ascii="Arial" w:hAnsi="Arial"/>
          <w:color w:val="auto"/>
          <w:sz w:val="20"/>
          <w:szCs w:val="20"/>
        </w:rPr>
        <w:t>Rosinter</w:t>
      </w:r>
      <w:proofErr w:type="spellEnd"/>
      <w:r>
        <w:rPr>
          <w:rFonts w:ascii="Arial" w:hAnsi="Arial"/>
          <w:color w:val="auto"/>
          <w:sz w:val="20"/>
          <w:szCs w:val="20"/>
        </w:rPr>
        <w:t xml:space="preserve"> has its restaurants remain closed. In fact, they stopped operating in 2020 due to COVID-19 and due to the closure of several international flights after the beginning of the special military operation in 2022.  </w:t>
      </w:r>
    </w:p>
    <w:p w14:paraId="157F5380" w14:textId="77777777" w:rsidR="007503FA" w:rsidRPr="007503FA" w:rsidRDefault="007503FA" w:rsidP="007503FA">
      <w:pPr>
        <w:shd w:val="clear" w:color="auto" w:fill="FFFFFF"/>
        <w:jc w:val="both"/>
        <w:rPr>
          <w:rFonts w:ascii="Arial" w:eastAsia="Times New Roman" w:hAnsi="Arial" w:cs="Times New Roman"/>
          <w:color w:val="auto"/>
          <w:sz w:val="20"/>
          <w:szCs w:val="20"/>
        </w:rPr>
      </w:pPr>
      <w:r>
        <w:rPr>
          <w:rFonts w:ascii="Arial" w:hAnsi="Arial"/>
          <w:color w:val="auto"/>
          <w:sz w:val="20"/>
          <w:szCs w:val="20"/>
        </w:rPr>
        <w:t xml:space="preserve">At the end of 2022, 9 fast food outlets that had formerly been McDonald's restaurants were re-branded as </w:t>
      </w:r>
      <w:proofErr w:type="spellStart"/>
      <w:r>
        <w:rPr>
          <w:rFonts w:ascii="Arial" w:hAnsi="Arial"/>
          <w:color w:val="auto"/>
          <w:sz w:val="20"/>
          <w:szCs w:val="20"/>
        </w:rPr>
        <w:t>Vkusno</w:t>
      </w:r>
      <w:proofErr w:type="spellEnd"/>
      <w:r>
        <w:rPr>
          <w:rFonts w:ascii="Arial" w:hAnsi="Arial"/>
          <w:color w:val="auto"/>
          <w:sz w:val="20"/>
          <w:szCs w:val="20"/>
        </w:rPr>
        <w:t xml:space="preserve"> </w:t>
      </w:r>
      <w:proofErr w:type="spellStart"/>
      <w:r>
        <w:rPr>
          <w:rFonts w:ascii="Arial" w:hAnsi="Arial"/>
          <w:color w:val="auto"/>
          <w:sz w:val="20"/>
          <w:szCs w:val="20"/>
        </w:rPr>
        <w:t>i</w:t>
      </w:r>
      <w:proofErr w:type="spellEnd"/>
      <w:r>
        <w:rPr>
          <w:rFonts w:ascii="Arial" w:hAnsi="Arial"/>
          <w:color w:val="auto"/>
          <w:sz w:val="20"/>
          <w:szCs w:val="20"/>
        </w:rPr>
        <w:t xml:space="preserve"> </w:t>
      </w:r>
      <w:proofErr w:type="spellStart"/>
      <w:r>
        <w:rPr>
          <w:rFonts w:ascii="Arial" w:hAnsi="Arial"/>
          <w:color w:val="auto"/>
          <w:sz w:val="20"/>
          <w:szCs w:val="20"/>
        </w:rPr>
        <w:t>Tochka</w:t>
      </w:r>
      <w:proofErr w:type="spellEnd"/>
      <w:r>
        <w:rPr>
          <w:rFonts w:ascii="Arial" w:hAnsi="Arial"/>
          <w:color w:val="auto"/>
          <w:sz w:val="20"/>
          <w:szCs w:val="20"/>
        </w:rPr>
        <w:t xml:space="preserve"> and were run under a franchise agreement. After its re-branding, as at the end of 2023 the revenues of the </w:t>
      </w:r>
      <w:proofErr w:type="gramStart"/>
      <w:r>
        <w:rPr>
          <w:rFonts w:ascii="Arial" w:hAnsi="Arial"/>
          <w:color w:val="auto"/>
          <w:sz w:val="20"/>
          <w:szCs w:val="20"/>
        </w:rPr>
        <w:t>fast food</w:t>
      </w:r>
      <w:proofErr w:type="gramEnd"/>
      <w:r>
        <w:rPr>
          <w:rFonts w:ascii="Arial" w:hAnsi="Arial"/>
          <w:color w:val="auto"/>
          <w:sz w:val="20"/>
          <w:szCs w:val="20"/>
        </w:rPr>
        <w:t xml:space="preserve"> chain grew by 16.5%, and its transactions - by 15.7%. </w:t>
      </w:r>
    </w:p>
    <w:p w14:paraId="690BE91F" w14:textId="77777777" w:rsidR="006607A7" w:rsidRPr="000C2D6D" w:rsidRDefault="006607A7" w:rsidP="006607A7">
      <w:pPr>
        <w:pStyle w:val="Default"/>
        <w:spacing w:line="276" w:lineRule="auto"/>
        <w:jc w:val="both"/>
        <w:rPr>
          <w:rFonts w:cs="Times New Roman"/>
          <w:b/>
          <w:bCs/>
          <w:color w:val="auto"/>
          <w:sz w:val="20"/>
          <w:szCs w:val="20"/>
          <w:u w:color="000000"/>
          <w:bdr w:val="nil"/>
        </w:rPr>
      </w:pPr>
      <w:r>
        <w:rPr>
          <w:b/>
          <w:bCs/>
          <w:color w:val="auto"/>
          <w:sz w:val="20"/>
          <w:szCs w:val="20"/>
          <w:u w:color="000000"/>
          <w:bdr w:val="nil"/>
        </w:rPr>
        <w:t>Franchising</w:t>
      </w:r>
    </w:p>
    <w:p w14:paraId="29482138" w14:textId="77777777" w:rsidR="006607A7" w:rsidRPr="000C2D6D" w:rsidRDefault="006607A7" w:rsidP="006607A7">
      <w:pPr>
        <w:pStyle w:val="Default"/>
        <w:spacing w:line="276" w:lineRule="auto"/>
        <w:jc w:val="both"/>
        <w:rPr>
          <w:rFonts w:cs="Times New Roman"/>
          <w:color w:val="auto"/>
          <w:sz w:val="20"/>
          <w:szCs w:val="20"/>
          <w:u w:color="000000"/>
          <w:bdr w:val="nil"/>
        </w:rPr>
      </w:pPr>
    </w:p>
    <w:p w14:paraId="699FF925" w14:textId="7173A718" w:rsidR="006607A7" w:rsidRPr="00DF4687" w:rsidRDefault="006607A7" w:rsidP="006607A7">
      <w:pPr>
        <w:pStyle w:val="Default"/>
        <w:spacing w:line="276" w:lineRule="auto"/>
        <w:jc w:val="both"/>
        <w:rPr>
          <w:rFonts w:cs="Times New Roman"/>
          <w:color w:val="auto"/>
          <w:sz w:val="20"/>
          <w:szCs w:val="20"/>
          <w:u w:color="000000"/>
          <w:bdr w:val="nil"/>
        </w:rPr>
      </w:pPr>
      <w:r>
        <w:rPr>
          <w:color w:val="auto"/>
          <w:sz w:val="20"/>
          <w:szCs w:val="20"/>
          <w:u w:color="000000"/>
          <w:bdr w:val="nil"/>
        </w:rPr>
        <w:t xml:space="preserve">In 2023, the Company opened 11 new franchise restaurants, specifically, IL Patio and Planet Sushi in the landmark tourist location “The Sun of Moscow” at </w:t>
      </w:r>
      <w:proofErr w:type="spellStart"/>
      <w:r>
        <w:rPr>
          <w:color w:val="auto"/>
          <w:sz w:val="20"/>
          <w:szCs w:val="20"/>
          <w:u w:color="000000"/>
          <w:bdr w:val="nil"/>
        </w:rPr>
        <w:t>VDNKh</w:t>
      </w:r>
      <w:proofErr w:type="spellEnd"/>
      <w:r>
        <w:rPr>
          <w:color w:val="auto"/>
          <w:sz w:val="20"/>
          <w:szCs w:val="20"/>
          <w:u w:color="000000"/>
          <w:bdr w:val="nil"/>
        </w:rPr>
        <w:t xml:space="preserve"> (Exhibition of Achievements of the National Economy). The Planet Sushi brand was launched for the first time in Tajikistan (Dushanbe). The Company intends to continue expanding its business footprint on the domestic market and in CIS countries through partnerships with local businessmen as the brand and local business synergy produces a powerful economic effect.</w:t>
      </w:r>
    </w:p>
    <w:p w14:paraId="7AF6D03F" w14:textId="77777777" w:rsidR="006607A7" w:rsidRPr="00DF4687" w:rsidRDefault="006607A7" w:rsidP="00BE7CD9">
      <w:pPr>
        <w:jc w:val="both"/>
        <w:rPr>
          <w:rFonts w:ascii="Arial" w:eastAsia="Times New Roman" w:hAnsi="Arial" w:cs="Times New Roman"/>
          <w:color w:val="auto"/>
          <w:sz w:val="20"/>
          <w:szCs w:val="20"/>
        </w:rPr>
      </w:pPr>
    </w:p>
    <w:p w14:paraId="57AD2694" w14:textId="3AEC0362" w:rsidR="00135D65" w:rsidRPr="00C92859" w:rsidRDefault="00135D65" w:rsidP="007574E2">
      <w:pPr>
        <w:spacing w:after="0"/>
        <w:jc w:val="both"/>
        <w:rPr>
          <w:rFonts w:ascii="Arial" w:eastAsia="Times New Roman" w:hAnsi="Arial" w:cs="Times New Roman"/>
          <w:b/>
          <w:bCs/>
          <w:color w:val="E36C0A" w:themeColor="accent6" w:themeShade="BF"/>
          <w:sz w:val="20"/>
          <w:szCs w:val="20"/>
        </w:rPr>
      </w:pPr>
      <w:r>
        <w:rPr>
          <w:rFonts w:ascii="Arial" w:hAnsi="Arial"/>
          <w:b/>
          <w:bCs/>
          <w:color w:val="E36C0A" w:themeColor="accent6" w:themeShade="BF"/>
          <w:sz w:val="20"/>
          <w:szCs w:val="20"/>
        </w:rPr>
        <w:t>MARGARITA KOSTEYEVA, PRESIDENT OF ROSINTER RESTAURANTS HOLDING PJSC, SAYS:</w:t>
      </w:r>
    </w:p>
    <w:p w14:paraId="6551C961" w14:textId="50B40394" w:rsidR="00E842A2" w:rsidRPr="00732424" w:rsidRDefault="00E842A2" w:rsidP="00F1617E">
      <w:pPr>
        <w:shd w:val="clear" w:color="auto" w:fill="FFFFFF"/>
        <w:spacing w:before="100" w:beforeAutospacing="1" w:after="100" w:afterAutospacing="1"/>
        <w:jc w:val="both"/>
        <w:rPr>
          <w:rFonts w:ascii="Arial" w:eastAsia="Times New Roman" w:hAnsi="Arial" w:cs="Times New Roman"/>
          <w:i/>
          <w:iCs/>
          <w:color w:val="auto"/>
          <w:sz w:val="20"/>
          <w:szCs w:val="20"/>
        </w:rPr>
      </w:pPr>
      <w:r>
        <w:rPr>
          <w:rFonts w:ascii="Arial" w:hAnsi="Arial"/>
          <w:i/>
          <w:iCs/>
          <w:color w:val="auto"/>
          <w:sz w:val="20"/>
          <w:szCs w:val="20"/>
        </w:rPr>
        <w:t xml:space="preserve">In the last few years, </w:t>
      </w:r>
      <w:proofErr w:type="spellStart"/>
      <w:r>
        <w:rPr>
          <w:rFonts w:ascii="Arial" w:hAnsi="Arial"/>
          <w:i/>
          <w:iCs/>
          <w:color w:val="auto"/>
          <w:sz w:val="20"/>
          <w:szCs w:val="20"/>
        </w:rPr>
        <w:t>Rosinter</w:t>
      </w:r>
      <w:proofErr w:type="spellEnd"/>
      <w:r>
        <w:rPr>
          <w:rFonts w:ascii="Arial" w:hAnsi="Arial"/>
          <w:i/>
          <w:iCs/>
          <w:color w:val="auto"/>
          <w:sz w:val="20"/>
          <w:szCs w:val="20"/>
        </w:rPr>
        <w:t xml:space="preserve"> Restaurants has been successfully adapting its business model to the uncertainty of the economic and geopolitical situation. In 2023, the Company achieved all strategic and financial objectives.  As at the end of 2023, restaurant revenues grew by 15.2% to RUB 6.9 billion. EBITDA grew by 13.5% to RUB 781 million. System revenues (including franchise restaurants) amounted to RUB 10.5 billion, a 13.6% increase to 2022.  </w:t>
      </w:r>
    </w:p>
    <w:p w14:paraId="341BB04D" w14:textId="54CDA77C" w:rsidR="00833935" w:rsidRPr="00732424" w:rsidRDefault="00220B05" w:rsidP="000E203E">
      <w:pPr>
        <w:jc w:val="both"/>
        <w:rPr>
          <w:rFonts w:ascii="Arial" w:eastAsia="Times New Roman" w:hAnsi="Arial" w:cs="Times New Roman"/>
          <w:i/>
          <w:iCs/>
          <w:color w:val="auto"/>
          <w:sz w:val="20"/>
          <w:szCs w:val="20"/>
        </w:rPr>
      </w:pPr>
      <w:r>
        <w:rPr>
          <w:rFonts w:ascii="Arial" w:hAnsi="Arial"/>
          <w:i/>
          <w:iCs/>
          <w:color w:val="auto"/>
          <w:sz w:val="20"/>
          <w:szCs w:val="20"/>
        </w:rPr>
        <w:t xml:space="preserve">In 2023, the Company’s team focused its efforts on developing the brands portfolio, increasing operational efficiency, and maintaining cost despite a high inflation rate while preserving, at the same time, the menu quality and diversity. We have profoundly transformed the organizational structure, having identified and re-designed the functions and responsibilities of the operations and marketing units. </w:t>
      </w:r>
    </w:p>
    <w:p w14:paraId="118DBFA4" w14:textId="1D63E1C3" w:rsidR="0071217F" w:rsidRPr="00732424" w:rsidRDefault="00B139A1" w:rsidP="000E203E">
      <w:pPr>
        <w:jc w:val="both"/>
        <w:rPr>
          <w:rFonts w:ascii="Arial" w:eastAsia="Times New Roman" w:hAnsi="Arial" w:cs="Times New Roman"/>
          <w:i/>
          <w:iCs/>
          <w:color w:val="auto"/>
          <w:sz w:val="20"/>
          <w:szCs w:val="20"/>
        </w:rPr>
      </w:pPr>
      <w:r>
        <w:rPr>
          <w:rFonts w:ascii="Arial" w:hAnsi="Arial"/>
          <w:i/>
          <w:iCs/>
          <w:color w:val="auto"/>
          <w:sz w:val="20"/>
          <w:szCs w:val="20"/>
        </w:rPr>
        <w:t xml:space="preserve">The high performance of the brands justly merited as many as several awards: The IL Patio brand won the prestigious “Golden Palm in Restaurant Business” award, was announced to be the “Brand of the Year”, and popular dishes on the menus of IL Patio, Shikari and TGI FRIDAYS won several gold and silver awards in the international “Quality Guarantee” competition. </w:t>
      </w:r>
    </w:p>
    <w:p w14:paraId="58F891DA" w14:textId="7DE41410" w:rsidR="002F5B89" w:rsidRPr="00732424" w:rsidRDefault="002F5B89" w:rsidP="000E203E">
      <w:pPr>
        <w:jc w:val="both"/>
        <w:rPr>
          <w:rFonts w:ascii="Arial" w:eastAsia="Times New Roman" w:hAnsi="Arial" w:cs="Times New Roman"/>
          <w:i/>
          <w:iCs/>
          <w:color w:val="auto"/>
          <w:sz w:val="20"/>
          <w:szCs w:val="20"/>
        </w:rPr>
      </w:pPr>
      <w:r>
        <w:rPr>
          <w:rFonts w:ascii="Arial" w:hAnsi="Arial"/>
          <w:i/>
          <w:iCs/>
          <w:color w:val="auto"/>
          <w:sz w:val="20"/>
          <w:szCs w:val="20"/>
        </w:rPr>
        <w:t xml:space="preserve">An important event of 2023 was the launch of the programme on the development of the portfolio of </w:t>
      </w:r>
      <w:proofErr w:type="spellStart"/>
      <w:r>
        <w:rPr>
          <w:rFonts w:ascii="Arial" w:hAnsi="Arial"/>
          <w:i/>
          <w:iCs/>
          <w:color w:val="auto"/>
          <w:sz w:val="20"/>
          <w:szCs w:val="20"/>
        </w:rPr>
        <w:t>Rosinter’s</w:t>
      </w:r>
      <w:proofErr w:type="spellEnd"/>
      <w:r>
        <w:rPr>
          <w:rFonts w:ascii="Arial" w:hAnsi="Arial"/>
          <w:i/>
          <w:iCs/>
          <w:color w:val="auto"/>
          <w:sz w:val="20"/>
          <w:szCs w:val="20"/>
        </w:rPr>
        <w:t xml:space="preserve"> restaurants: </w:t>
      </w:r>
    </w:p>
    <w:p w14:paraId="70F6297E" w14:textId="1BD8C351" w:rsidR="00B139A1" w:rsidRPr="00732424" w:rsidRDefault="0071217F" w:rsidP="000E203E">
      <w:pPr>
        <w:pStyle w:val="a6"/>
        <w:numPr>
          <w:ilvl w:val="0"/>
          <w:numId w:val="9"/>
        </w:numPr>
        <w:spacing w:line="276" w:lineRule="auto"/>
        <w:rPr>
          <w:rFonts w:ascii="Arial" w:hAnsi="Arial"/>
          <w:i/>
          <w:iCs/>
          <w:color w:val="auto"/>
          <w:sz w:val="20"/>
          <w:szCs w:val="20"/>
        </w:rPr>
      </w:pPr>
      <w:r>
        <w:rPr>
          <w:rFonts w:ascii="Arial" w:hAnsi="Arial"/>
          <w:i/>
          <w:iCs/>
          <w:color w:val="auto"/>
          <w:sz w:val="20"/>
          <w:szCs w:val="20"/>
        </w:rPr>
        <w:t xml:space="preserve">In 2023, </w:t>
      </w:r>
      <w:proofErr w:type="spellStart"/>
      <w:r>
        <w:rPr>
          <w:rFonts w:ascii="Arial" w:hAnsi="Arial"/>
          <w:i/>
          <w:iCs/>
          <w:color w:val="auto"/>
          <w:sz w:val="20"/>
          <w:szCs w:val="20"/>
        </w:rPr>
        <w:t>Rosinter’s</w:t>
      </w:r>
      <w:proofErr w:type="spellEnd"/>
      <w:r>
        <w:rPr>
          <w:rFonts w:ascii="Arial" w:hAnsi="Arial"/>
          <w:i/>
          <w:iCs/>
          <w:color w:val="auto"/>
          <w:sz w:val="20"/>
          <w:szCs w:val="20"/>
        </w:rPr>
        <w:t xml:space="preserve"> team designed a new coffee shop brand; in March, 2024, in collaboration with a Russian coffee producer, the Company opened the first Lalibela Coffee shop in the </w:t>
      </w:r>
      <w:proofErr w:type="spellStart"/>
      <w:r>
        <w:rPr>
          <w:rFonts w:ascii="Arial" w:hAnsi="Arial"/>
          <w:i/>
          <w:iCs/>
          <w:color w:val="auto"/>
          <w:sz w:val="20"/>
          <w:szCs w:val="20"/>
        </w:rPr>
        <w:t>Aviapark</w:t>
      </w:r>
      <w:proofErr w:type="spellEnd"/>
      <w:r>
        <w:rPr>
          <w:rFonts w:ascii="Arial" w:hAnsi="Arial"/>
          <w:i/>
          <w:iCs/>
          <w:color w:val="auto"/>
          <w:sz w:val="20"/>
          <w:szCs w:val="20"/>
        </w:rPr>
        <w:t xml:space="preserve"> Shopping Centre in Moscow. </w:t>
      </w:r>
    </w:p>
    <w:p w14:paraId="1FC09913" w14:textId="65C9CD38" w:rsidR="002F5B89" w:rsidRPr="00732424" w:rsidRDefault="00E842A2" w:rsidP="000E203E">
      <w:pPr>
        <w:pStyle w:val="a6"/>
        <w:numPr>
          <w:ilvl w:val="0"/>
          <w:numId w:val="9"/>
        </w:numPr>
        <w:spacing w:line="276" w:lineRule="auto"/>
        <w:rPr>
          <w:rFonts w:ascii="Arial" w:hAnsi="Arial"/>
          <w:i/>
          <w:iCs/>
          <w:color w:val="auto"/>
          <w:sz w:val="20"/>
          <w:szCs w:val="20"/>
        </w:rPr>
      </w:pPr>
      <w:r>
        <w:rPr>
          <w:rFonts w:ascii="Arial" w:hAnsi="Arial"/>
          <w:i/>
          <w:iCs/>
          <w:color w:val="auto"/>
          <w:sz w:val="20"/>
          <w:szCs w:val="20"/>
        </w:rPr>
        <w:t xml:space="preserve">In April 2023, </w:t>
      </w:r>
      <w:proofErr w:type="spellStart"/>
      <w:r>
        <w:rPr>
          <w:rFonts w:ascii="Arial" w:hAnsi="Arial"/>
          <w:i/>
          <w:iCs/>
          <w:color w:val="auto"/>
          <w:sz w:val="20"/>
          <w:szCs w:val="20"/>
        </w:rPr>
        <w:t>Rosinter</w:t>
      </w:r>
      <w:proofErr w:type="spellEnd"/>
      <w:r>
        <w:rPr>
          <w:rFonts w:ascii="Arial" w:hAnsi="Arial"/>
          <w:i/>
          <w:iCs/>
          <w:color w:val="auto"/>
          <w:sz w:val="20"/>
          <w:szCs w:val="20"/>
        </w:rPr>
        <w:t xml:space="preserve"> opened a new IL Patio restaurant in the </w:t>
      </w:r>
      <w:proofErr w:type="spellStart"/>
      <w:r>
        <w:rPr>
          <w:rFonts w:ascii="Arial" w:hAnsi="Arial"/>
          <w:i/>
          <w:iCs/>
          <w:color w:val="auto"/>
          <w:sz w:val="20"/>
          <w:szCs w:val="20"/>
        </w:rPr>
        <w:t>Pulkovo</w:t>
      </w:r>
      <w:proofErr w:type="spellEnd"/>
      <w:r>
        <w:rPr>
          <w:rFonts w:ascii="Arial" w:hAnsi="Arial"/>
          <w:i/>
          <w:iCs/>
          <w:color w:val="auto"/>
          <w:sz w:val="20"/>
          <w:szCs w:val="20"/>
        </w:rPr>
        <w:t xml:space="preserve"> International Airport (Saint Petersburg). </w:t>
      </w:r>
    </w:p>
    <w:p w14:paraId="04BEF787" w14:textId="77E3888A" w:rsidR="002F5B89" w:rsidRPr="00B72082" w:rsidRDefault="00E842A2" w:rsidP="000E203E">
      <w:pPr>
        <w:pStyle w:val="a6"/>
        <w:numPr>
          <w:ilvl w:val="0"/>
          <w:numId w:val="9"/>
        </w:numPr>
        <w:spacing w:line="276" w:lineRule="auto"/>
        <w:rPr>
          <w:rFonts w:ascii="Arial" w:hAnsi="Arial"/>
          <w:i/>
          <w:iCs/>
          <w:color w:val="auto"/>
          <w:sz w:val="20"/>
          <w:szCs w:val="20"/>
        </w:rPr>
      </w:pPr>
      <w:r>
        <w:rPr>
          <w:rFonts w:ascii="Arial" w:hAnsi="Arial"/>
          <w:i/>
          <w:iCs/>
          <w:color w:val="auto"/>
          <w:sz w:val="20"/>
          <w:szCs w:val="20"/>
        </w:rPr>
        <w:t>In July 2023, 3 more Mama Russia, IL Patio and TGI FRIDAY’S restaurants opened in the new International Terminal 2 of the Domodedovo Airport were added to the brands portfolio. Today, it is the Company’s largest restaurant project on the new terminal site (the total restaurant area is 730 m</w:t>
      </w:r>
      <w:r>
        <w:rPr>
          <w:rFonts w:ascii="Arial" w:hAnsi="Arial"/>
          <w:i/>
          <w:iCs/>
          <w:color w:val="auto"/>
          <w:sz w:val="20"/>
          <w:szCs w:val="20"/>
          <w:vertAlign w:val="superscript"/>
        </w:rPr>
        <w:t>2</w:t>
      </w:r>
      <w:r>
        <w:rPr>
          <w:rFonts w:ascii="Arial" w:hAnsi="Arial"/>
          <w:i/>
          <w:iCs/>
          <w:color w:val="auto"/>
          <w:sz w:val="20"/>
          <w:szCs w:val="20"/>
        </w:rPr>
        <w:t xml:space="preserve">).  </w:t>
      </w:r>
    </w:p>
    <w:p w14:paraId="56CA9B1A" w14:textId="64EF2F9E" w:rsidR="002F5B89" w:rsidRPr="00B72082" w:rsidRDefault="00E842A2" w:rsidP="000E203E">
      <w:pPr>
        <w:pStyle w:val="a6"/>
        <w:numPr>
          <w:ilvl w:val="0"/>
          <w:numId w:val="9"/>
        </w:numPr>
        <w:spacing w:line="276" w:lineRule="auto"/>
        <w:rPr>
          <w:rFonts w:ascii="Arial" w:hAnsi="Arial"/>
          <w:i/>
          <w:iCs/>
          <w:color w:val="auto"/>
          <w:sz w:val="20"/>
          <w:szCs w:val="20"/>
        </w:rPr>
      </w:pPr>
      <w:r>
        <w:rPr>
          <w:rFonts w:ascii="Arial" w:hAnsi="Arial"/>
          <w:i/>
          <w:iCs/>
          <w:color w:val="auto"/>
          <w:sz w:val="20"/>
          <w:szCs w:val="20"/>
        </w:rPr>
        <w:lastRenderedPageBreak/>
        <w:t xml:space="preserve">Design of several </w:t>
      </w:r>
      <w:proofErr w:type="spellStart"/>
      <w:r>
        <w:rPr>
          <w:rFonts w:ascii="Arial" w:hAnsi="Arial"/>
          <w:i/>
          <w:iCs/>
          <w:color w:val="auto"/>
          <w:sz w:val="20"/>
          <w:szCs w:val="20"/>
        </w:rPr>
        <w:t>Vkusno</w:t>
      </w:r>
      <w:proofErr w:type="spellEnd"/>
      <w:r>
        <w:rPr>
          <w:rFonts w:ascii="Arial" w:hAnsi="Arial"/>
          <w:i/>
          <w:iCs/>
          <w:color w:val="auto"/>
          <w:sz w:val="20"/>
          <w:szCs w:val="20"/>
        </w:rPr>
        <w:t xml:space="preserve"> </w:t>
      </w:r>
      <w:proofErr w:type="spellStart"/>
      <w:r>
        <w:rPr>
          <w:rFonts w:ascii="Arial" w:hAnsi="Arial"/>
          <w:i/>
          <w:iCs/>
          <w:color w:val="auto"/>
          <w:sz w:val="20"/>
          <w:szCs w:val="20"/>
        </w:rPr>
        <w:t>i</w:t>
      </w:r>
      <w:proofErr w:type="spellEnd"/>
      <w:r>
        <w:rPr>
          <w:rFonts w:ascii="Arial" w:hAnsi="Arial"/>
          <w:i/>
          <w:iCs/>
          <w:color w:val="auto"/>
          <w:sz w:val="20"/>
          <w:szCs w:val="20"/>
        </w:rPr>
        <w:t xml:space="preserve"> </w:t>
      </w:r>
      <w:proofErr w:type="spellStart"/>
      <w:r>
        <w:rPr>
          <w:rFonts w:ascii="Arial" w:hAnsi="Arial"/>
          <w:i/>
          <w:iCs/>
          <w:color w:val="auto"/>
          <w:sz w:val="20"/>
          <w:szCs w:val="20"/>
        </w:rPr>
        <w:t>Tochka</w:t>
      </w:r>
      <w:proofErr w:type="spellEnd"/>
      <w:r>
        <w:rPr>
          <w:rFonts w:ascii="Arial" w:hAnsi="Arial"/>
          <w:i/>
          <w:iCs/>
          <w:color w:val="auto"/>
          <w:sz w:val="20"/>
          <w:szCs w:val="20"/>
        </w:rPr>
        <w:t xml:space="preserve"> fast food outlets is currently underway, they are projected to be opened during the year.  </w:t>
      </w:r>
    </w:p>
    <w:p w14:paraId="34BCAB1D" w14:textId="77777777" w:rsidR="004C6945" w:rsidRPr="00313A4E" w:rsidRDefault="004C6945" w:rsidP="000E203E">
      <w:pPr>
        <w:pStyle w:val="a6"/>
        <w:spacing w:line="276" w:lineRule="auto"/>
        <w:rPr>
          <w:rFonts w:ascii="Arial" w:hAnsi="Arial"/>
          <w:i/>
          <w:iCs/>
          <w:color w:val="auto"/>
          <w:sz w:val="20"/>
          <w:szCs w:val="20"/>
          <w:lang w:val="en-US"/>
        </w:rPr>
      </w:pPr>
    </w:p>
    <w:p w14:paraId="41F0CA4B" w14:textId="7043D9E5" w:rsidR="00E842A2" w:rsidRPr="00B72082" w:rsidRDefault="00E842A2" w:rsidP="000E203E">
      <w:pPr>
        <w:jc w:val="both"/>
        <w:rPr>
          <w:rFonts w:ascii="Arial" w:eastAsia="Times New Roman" w:hAnsi="Arial" w:cs="Times New Roman"/>
          <w:i/>
          <w:iCs/>
          <w:color w:val="auto"/>
          <w:sz w:val="20"/>
          <w:szCs w:val="20"/>
        </w:rPr>
      </w:pPr>
      <w:r>
        <w:rPr>
          <w:rFonts w:ascii="Arial" w:hAnsi="Arial"/>
          <w:i/>
          <w:iCs/>
          <w:color w:val="auto"/>
          <w:sz w:val="20"/>
          <w:szCs w:val="20"/>
        </w:rPr>
        <w:t xml:space="preserve">For many years </w:t>
      </w:r>
      <w:proofErr w:type="spellStart"/>
      <w:r>
        <w:rPr>
          <w:rFonts w:ascii="Arial" w:hAnsi="Arial"/>
          <w:i/>
          <w:iCs/>
          <w:color w:val="auto"/>
          <w:sz w:val="20"/>
          <w:szCs w:val="20"/>
        </w:rPr>
        <w:t>Rosinter</w:t>
      </w:r>
      <w:proofErr w:type="spellEnd"/>
      <w:r>
        <w:rPr>
          <w:rFonts w:ascii="Arial" w:hAnsi="Arial"/>
          <w:i/>
          <w:iCs/>
          <w:color w:val="auto"/>
          <w:sz w:val="20"/>
          <w:szCs w:val="20"/>
        </w:rPr>
        <w:t xml:space="preserve"> has been under a heavy burden of foreign debt obligations. In 2022-2023, the Company managed to reduce its bank debt by 20%. This makes </w:t>
      </w:r>
      <w:proofErr w:type="spellStart"/>
      <w:r>
        <w:rPr>
          <w:rFonts w:ascii="Arial" w:hAnsi="Arial"/>
          <w:i/>
          <w:iCs/>
          <w:color w:val="auto"/>
          <w:sz w:val="20"/>
          <w:szCs w:val="20"/>
        </w:rPr>
        <w:t>Rosinter’s</w:t>
      </w:r>
      <w:proofErr w:type="spellEnd"/>
      <w:r>
        <w:rPr>
          <w:rFonts w:ascii="Arial" w:hAnsi="Arial"/>
          <w:i/>
          <w:iCs/>
          <w:color w:val="auto"/>
          <w:sz w:val="20"/>
          <w:szCs w:val="20"/>
        </w:rPr>
        <w:t xml:space="preserve"> updated business model yet more stable and enables the Company to switch from the position retention strategy to a strategy focused on growth in the following areas: </w:t>
      </w:r>
    </w:p>
    <w:p w14:paraId="4D8D7FFA" w14:textId="0D702C34" w:rsidR="00E842A2" w:rsidRPr="00B72082" w:rsidRDefault="00E842A2" w:rsidP="000E203E">
      <w:pPr>
        <w:pStyle w:val="a6"/>
        <w:numPr>
          <w:ilvl w:val="0"/>
          <w:numId w:val="8"/>
        </w:numPr>
        <w:spacing w:line="276" w:lineRule="auto"/>
        <w:rPr>
          <w:rFonts w:ascii="Arial" w:hAnsi="Arial"/>
          <w:i/>
          <w:iCs/>
          <w:color w:val="auto"/>
          <w:sz w:val="20"/>
          <w:szCs w:val="20"/>
        </w:rPr>
      </w:pPr>
      <w:r>
        <w:rPr>
          <w:rFonts w:ascii="Arial" w:hAnsi="Arial"/>
          <w:i/>
          <w:iCs/>
          <w:color w:val="auto"/>
          <w:sz w:val="20"/>
          <w:szCs w:val="20"/>
        </w:rPr>
        <w:t xml:space="preserve">Updating the pool of corporate restaurants under the key brands. In 2022-2023, the Company updated the visual concept and the communications platform of the IL Patio (Italian cuisine) brand. In 2024, </w:t>
      </w:r>
      <w:proofErr w:type="spellStart"/>
      <w:r>
        <w:rPr>
          <w:rFonts w:ascii="Arial" w:hAnsi="Arial"/>
          <w:i/>
          <w:iCs/>
          <w:color w:val="auto"/>
          <w:sz w:val="20"/>
          <w:szCs w:val="20"/>
        </w:rPr>
        <w:t>Rosinter</w:t>
      </w:r>
      <w:proofErr w:type="spellEnd"/>
      <w:r>
        <w:rPr>
          <w:rFonts w:ascii="Arial" w:hAnsi="Arial"/>
          <w:i/>
          <w:iCs/>
          <w:color w:val="auto"/>
          <w:sz w:val="20"/>
          <w:szCs w:val="20"/>
        </w:rPr>
        <w:t xml:space="preserve"> plans to open a new flagship restaurant in the centre of Moscow and also launch a staged refresh of all corporate locations of the brand.</w:t>
      </w:r>
    </w:p>
    <w:p w14:paraId="487386C4" w14:textId="75A524F4" w:rsidR="00E842A2" w:rsidRPr="00B72082" w:rsidRDefault="00E842A2" w:rsidP="000E203E">
      <w:pPr>
        <w:pStyle w:val="a6"/>
        <w:numPr>
          <w:ilvl w:val="0"/>
          <w:numId w:val="8"/>
        </w:numPr>
        <w:spacing w:line="276" w:lineRule="auto"/>
        <w:rPr>
          <w:rFonts w:ascii="Arial" w:hAnsi="Arial"/>
          <w:i/>
          <w:iCs/>
          <w:color w:val="auto"/>
          <w:sz w:val="20"/>
          <w:szCs w:val="20"/>
        </w:rPr>
      </w:pPr>
      <w:r>
        <w:rPr>
          <w:rFonts w:ascii="Arial" w:hAnsi="Arial"/>
          <w:i/>
          <w:iCs/>
          <w:color w:val="auto"/>
          <w:sz w:val="20"/>
          <w:szCs w:val="20"/>
        </w:rPr>
        <w:t xml:space="preserve">Staged relaunch of the corporate and franchise locations of the coffee shop chain under the new “Lalibela Coffee” brand, and further intensive development of the brand in the corporate network, specifically, in transportation hubs and under a franchising scheme. </w:t>
      </w:r>
    </w:p>
    <w:p w14:paraId="65189BAF" w14:textId="3DD1EF89" w:rsidR="00E842A2" w:rsidRPr="00B72082" w:rsidRDefault="00E842A2" w:rsidP="000E203E">
      <w:pPr>
        <w:pStyle w:val="a6"/>
        <w:numPr>
          <w:ilvl w:val="0"/>
          <w:numId w:val="8"/>
        </w:numPr>
        <w:spacing w:line="276" w:lineRule="auto"/>
        <w:rPr>
          <w:rFonts w:ascii="Arial" w:hAnsi="Arial"/>
          <w:i/>
          <w:iCs/>
          <w:color w:val="auto"/>
          <w:sz w:val="20"/>
          <w:szCs w:val="20"/>
        </w:rPr>
      </w:pPr>
      <w:r>
        <w:rPr>
          <w:rFonts w:ascii="Arial" w:hAnsi="Arial"/>
          <w:i/>
          <w:iCs/>
          <w:color w:val="auto"/>
          <w:sz w:val="20"/>
          <w:szCs w:val="20"/>
        </w:rPr>
        <w:t xml:space="preserve">Reopening of restaurants in transportation hubs. After the re-opening of Terminal D in the Sheremetyevo International Airport, expected in the 2nd quarter of 2024, </w:t>
      </w:r>
      <w:proofErr w:type="spellStart"/>
      <w:r>
        <w:rPr>
          <w:rFonts w:ascii="Arial" w:hAnsi="Arial"/>
          <w:i/>
          <w:iCs/>
          <w:color w:val="auto"/>
          <w:sz w:val="20"/>
          <w:szCs w:val="20"/>
        </w:rPr>
        <w:t>Rosinter</w:t>
      </w:r>
      <w:proofErr w:type="spellEnd"/>
      <w:r>
        <w:rPr>
          <w:rFonts w:ascii="Arial" w:hAnsi="Arial"/>
          <w:i/>
          <w:iCs/>
          <w:color w:val="auto"/>
          <w:sz w:val="20"/>
          <w:szCs w:val="20"/>
        </w:rPr>
        <w:t xml:space="preserve"> will re-open 6 restaurants and coffee shops under the Company’s brands, which were temporarily closed back in 2020. Furthermore, extensive upgrades will take place in the airport of Kazan where </w:t>
      </w:r>
      <w:proofErr w:type="spellStart"/>
      <w:r>
        <w:rPr>
          <w:rFonts w:ascii="Arial" w:hAnsi="Arial"/>
          <w:i/>
          <w:iCs/>
          <w:color w:val="auto"/>
          <w:sz w:val="20"/>
          <w:szCs w:val="20"/>
        </w:rPr>
        <w:t>Rosinter</w:t>
      </w:r>
      <w:proofErr w:type="spellEnd"/>
      <w:r>
        <w:rPr>
          <w:rFonts w:ascii="Arial" w:hAnsi="Arial"/>
          <w:i/>
          <w:iCs/>
          <w:color w:val="auto"/>
          <w:sz w:val="20"/>
          <w:szCs w:val="20"/>
        </w:rPr>
        <w:t xml:space="preserve"> Restaurants has 5 restaurants. </w:t>
      </w:r>
    </w:p>
    <w:p w14:paraId="7C19699A" w14:textId="403A6A62" w:rsidR="00E842A2" w:rsidRPr="00732424" w:rsidRDefault="007B0932" w:rsidP="000E203E">
      <w:pPr>
        <w:pStyle w:val="a6"/>
        <w:numPr>
          <w:ilvl w:val="0"/>
          <w:numId w:val="8"/>
        </w:numPr>
        <w:spacing w:line="276" w:lineRule="auto"/>
        <w:rPr>
          <w:rFonts w:ascii="Arial" w:hAnsi="Arial"/>
          <w:i/>
          <w:iCs/>
          <w:color w:val="auto"/>
          <w:sz w:val="20"/>
          <w:szCs w:val="20"/>
        </w:rPr>
      </w:pPr>
      <w:r>
        <w:rPr>
          <w:rFonts w:ascii="Arial" w:hAnsi="Arial"/>
          <w:i/>
          <w:iCs/>
          <w:color w:val="auto"/>
          <w:sz w:val="20"/>
          <w:szCs w:val="20"/>
        </w:rPr>
        <w:t xml:space="preserve">The Company will continue to expand geographically using franchise schemes; special focus will be on the regions with a high potential for domestic tourism. </w:t>
      </w:r>
    </w:p>
    <w:p w14:paraId="4DCE1135" w14:textId="77777777" w:rsidR="00EC72AA" w:rsidRPr="00732424" w:rsidRDefault="00EC72AA" w:rsidP="000E203E">
      <w:pPr>
        <w:spacing w:after="0"/>
        <w:jc w:val="both"/>
        <w:rPr>
          <w:rFonts w:ascii="Arial" w:eastAsia="Times New Roman" w:hAnsi="Arial" w:cs="Times New Roman"/>
          <w:i/>
          <w:iCs/>
          <w:color w:val="auto"/>
          <w:sz w:val="20"/>
          <w:szCs w:val="20"/>
        </w:rPr>
      </w:pPr>
    </w:p>
    <w:p w14:paraId="0E64D0D9" w14:textId="39DF34FC" w:rsidR="00EC72AA" w:rsidRDefault="00D81B41" w:rsidP="000E203E">
      <w:pPr>
        <w:spacing w:after="0"/>
        <w:jc w:val="both"/>
        <w:rPr>
          <w:rFonts w:ascii="Arial" w:eastAsia="Times New Roman" w:hAnsi="Arial" w:cs="Times New Roman"/>
          <w:i/>
          <w:iCs/>
          <w:color w:val="auto"/>
          <w:sz w:val="20"/>
          <w:szCs w:val="20"/>
        </w:rPr>
      </w:pPr>
      <w:proofErr w:type="spellStart"/>
      <w:r>
        <w:rPr>
          <w:rFonts w:ascii="Arial" w:hAnsi="Arial"/>
          <w:i/>
          <w:iCs/>
          <w:color w:val="auto"/>
          <w:sz w:val="20"/>
          <w:szCs w:val="20"/>
        </w:rPr>
        <w:t>Rosinter</w:t>
      </w:r>
      <w:proofErr w:type="spellEnd"/>
      <w:r>
        <w:rPr>
          <w:rFonts w:ascii="Arial" w:hAnsi="Arial"/>
          <w:i/>
          <w:iCs/>
          <w:color w:val="auto"/>
          <w:sz w:val="20"/>
          <w:szCs w:val="20"/>
        </w:rPr>
        <w:t xml:space="preserve"> successfully coped with the 2023 external challenges and is embarking on a new development cycle with new targets and objectives. </w:t>
      </w:r>
      <w:proofErr w:type="spellStart"/>
      <w:r>
        <w:rPr>
          <w:rFonts w:ascii="Arial" w:hAnsi="Arial"/>
          <w:i/>
          <w:iCs/>
          <w:color w:val="auto"/>
          <w:sz w:val="20"/>
          <w:szCs w:val="20"/>
        </w:rPr>
        <w:t>Rosinter</w:t>
      </w:r>
      <w:proofErr w:type="spellEnd"/>
      <w:r>
        <w:rPr>
          <w:rFonts w:ascii="Arial" w:hAnsi="Arial"/>
          <w:i/>
          <w:iCs/>
          <w:color w:val="auto"/>
          <w:sz w:val="20"/>
          <w:szCs w:val="20"/>
        </w:rPr>
        <w:t xml:space="preserve"> will stay, as ever, focused on increasing the company value, developing brands, improving operational efficiency of business, high service and menu quality standards. In doing so, the Company will continue strengthening its positions on the public catering market.</w:t>
      </w:r>
    </w:p>
    <w:p w14:paraId="2951129B" w14:textId="77777777" w:rsidR="00DD1AE8" w:rsidRDefault="00DD1AE8" w:rsidP="000E203E">
      <w:pPr>
        <w:spacing w:after="0"/>
        <w:jc w:val="both"/>
        <w:rPr>
          <w:rFonts w:ascii="Arial" w:eastAsia="Times New Roman" w:hAnsi="Arial" w:cs="Times New Roman"/>
          <w:i/>
          <w:iCs/>
          <w:color w:val="auto"/>
          <w:sz w:val="20"/>
          <w:szCs w:val="20"/>
        </w:rPr>
      </w:pPr>
    </w:p>
    <w:p w14:paraId="01BB6187" w14:textId="77777777" w:rsidR="007F7ADA" w:rsidRDefault="007F7ADA" w:rsidP="007F7ADA">
      <w:pPr>
        <w:spacing w:after="0"/>
        <w:jc w:val="both"/>
        <w:rPr>
          <w:rFonts w:ascii="Arial" w:eastAsia="Times New Roman" w:hAnsi="Arial" w:cs="Times New Roman"/>
          <w:i/>
          <w:iCs/>
          <w:color w:val="auto"/>
          <w:sz w:val="20"/>
          <w:szCs w:val="20"/>
        </w:rPr>
      </w:pPr>
    </w:p>
    <w:p w14:paraId="36A71FEA" w14:textId="77777777" w:rsidR="00306340" w:rsidRPr="00732424" w:rsidRDefault="00306340" w:rsidP="000E203E">
      <w:pPr>
        <w:spacing w:after="0"/>
        <w:jc w:val="both"/>
        <w:rPr>
          <w:rFonts w:ascii="Arial" w:eastAsia="Times New Roman" w:hAnsi="Arial" w:cs="Times New Roman"/>
          <w:i/>
          <w:iCs/>
          <w:color w:val="auto"/>
          <w:sz w:val="20"/>
          <w:szCs w:val="20"/>
        </w:rPr>
      </w:pPr>
    </w:p>
    <w:p w14:paraId="55F8C0C6" w14:textId="2D01C549" w:rsidR="00732424" w:rsidRDefault="00732424">
      <w:pPr>
        <w:spacing w:after="0" w:line="240" w:lineRule="auto"/>
        <w:rPr>
          <w:rFonts w:ascii="Arial" w:eastAsia="Times New Roman" w:hAnsi="Arial" w:cs="Times New Roman"/>
          <w:i/>
          <w:iCs/>
          <w:color w:val="auto"/>
          <w:sz w:val="20"/>
          <w:szCs w:val="20"/>
        </w:rPr>
      </w:pPr>
      <w:r>
        <w:br w:type="page"/>
      </w:r>
    </w:p>
    <w:tbl>
      <w:tblPr>
        <w:tblStyle w:val="TableNormal1"/>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23"/>
      </w:tblGrid>
      <w:tr w:rsidR="00415971" w:rsidRPr="000E3100" w14:paraId="56464962" w14:textId="77777777" w:rsidTr="00D321FD">
        <w:trPr>
          <w:trHeight w:val="348"/>
          <w:jc w:val="center"/>
        </w:trPr>
        <w:tc>
          <w:tcPr>
            <w:tcW w:w="9923" w:type="dxa"/>
            <w:tcBorders>
              <w:top w:val="nil"/>
              <w:left w:val="nil"/>
              <w:bottom w:val="nil"/>
              <w:right w:val="nil"/>
            </w:tcBorders>
            <w:shd w:val="clear" w:color="auto" w:fill="FFC000"/>
            <w:tcMar>
              <w:top w:w="80" w:type="dxa"/>
              <w:left w:w="80" w:type="dxa"/>
              <w:bottom w:w="80" w:type="dxa"/>
              <w:right w:w="80" w:type="dxa"/>
            </w:tcMar>
            <w:vAlign w:val="center"/>
          </w:tcPr>
          <w:p w14:paraId="3D11285D" w14:textId="58D5923D" w:rsidR="00415971" w:rsidRPr="000E3100" w:rsidRDefault="00572A24" w:rsidP="005C216C">
            <w:pPr>
              <w:spacing w:after="0" w:line="240" w:lineRule="auto"/>
              <w:jc w:val="center"/>
            </w:pPr>
            <w:r>
              <w:lastRenderedPageBreak/>
              <w:br w:type="page"/>
            </w:r>
            <w:r>
              <w:br w:type="page"/>
            </w:r>
            <w:r>
              <w:rPr>
                <w:b/>
                <w:bCs/>
              </w:rPr>
              <w:t>2023 FINANCIAL AND OPERATING RESULTS</w:t>
            </w:r>
          </w:p>
        </w:tc>
      </w:tr>
    </w:tbl>
    <w:p w14:paraId="40386FE1" w14:textId="6118AD6B" w:rsidR="00415971" w:rsidRPr="006B15E2" w:rsidRDefault="00F26F9F">
      <w:pPr>
        <w:spacing w:after="0" w:line="240" w:lineRule="auto"/>
        <w:jc w:val="both"/>
        <w:rPr>
          <w:rFonts w:ascii="Arial" w:eastAsia="Arial" w:hAnsi="Arial" w:cs="Arial"/>
          <w:b/>
          <w:bCs/>
          <w:i/>
          <w:iCs/>
          <w:sz w:val="20"/>
          <w:szCs w:val="20"/>
          <w:lang w:val="en-US"/>
        </w:rPr>
      </w:pPr>
      <w:r w:rsidRPr="00F26F9F">
        <w:rPr>
          <w:noProof/>
        </w:rPr>
        <w:drawing>
          <wp:inline distT="0" distB="0" distL="0" distR="0" wp14:anchorId="3743C529" wp14:editId="524678F0">
            <wp:extent cx="6296025" cy="5213985"/>
            <wp:effectExtent l="0" t="0" r="9525"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5213985"/>
                    </a:xfrm>
                    <a:prstGeom prst="rect">
                      <a:avLst/>
                    </a:prstGeom>
                    <a:noFill/>
                    <a:ln>
                      <a:noFill/>
                    </a:ln>
                  </pic:spPr>
                </pic:pic>
              </a:graphicData>
            </a:graphic>
          </wp:inline>
        </w:drawing>
      </w:r>
    </w:p>
    <w:p w14:paraId="5028F1FD" w14:textId="41ECE597" w:rsidR="00415971" w:rsidRPr="000E3100" w:rsidRDefault="008E6DD4">
      <w:pPr>
        <w:spacing w:before="240" w:after="0"/>
        <w:jc w:val="both"/>
        <w:rPr>
          <w:rFonts w:ascii="Arial" w:eastAsia="Arial" w:hAnsi="Arial" w:cs="Arial"/>
          <w:i/>
          <w:iCs/>
          <w:color w:val="E36C0A" w:themeColor="accent6" w:themeShade="BF"/>
          <w:sz w:val="20"/>
          <w:szCs w:val="20"/>
        </w:rPr>
      </w:pPr>
      <w:r>
        <w:rPr>
          <w:rFonts w:ascii="Arial" w:hAnsi="Arial"/>
          <w:i/>
          <w:iCs/>
          <w:color w:val="E36C0A" w:themeColor="accent6" w:themeShade="BF"/>
          <w:sz w:val="20"/>
          <w:szCs w:val="20"/>
        </w:rPr>
        <w:t>The comments to the table are given before the application of IFRS 16 “Leases”</w:t>
      </w:r>
    </w:p>
    <w:p w14:paraId="4DD85C4A" w14:textId="7F808661" w:rsidR="00415971" w:rsidRPr="000E3100" w:rsidRDefault="008E6DD4">
      <w:pPr>
        <w:spacing w:before="240" w:after="0"/>
        <w:jc w:val="both"/>
        <w:rPr>
          <w:rFonts w:ascii="Arial" w:hAnsi="Arial" w:cs="Arial"/>
          <w:sz w:val="20"/>
          <w:szCs w:val="20"/>
        </w:rPr>
      </w:pPr>
      <w:bookmarkStart w:id="2" w:name="_Hlk101540493"/>
      <w:r>
        <w:rPr>
          <w:rFonts w:ascii="Arial" w:hAnsi="Arial"/>
          <w:b/>
          <w:i/>
          <w:sz w:val="20"/>
          <w:szCs w:val="20"/>
        </w:rPr>
        <w:t>Consolidated revenue</w:t>
      </w:r>
      <w:r>
        <w:rPr>
          <w:rFonts w:ascii="Arial" w:hAnsi="Arial"/>
          <w:sz w:val="20"/>
          <w:szCs w:val="20"/>
        </w:rPr>
        <w:t xml:space="preserve"> for 2023 amounted to RUB 7,166 million, having grown by 14.1% against 2023. </w:t>
      </w:r>
    </w:p>
    <w:p w14:paraId="015E6E71" w14:textId="1D1BCBFF" w:rsidR="00C172F7" w:rsidRPr="000E3100" w:rsidRDefault="006B1D8F">
      <w:pPr>
        <w:spacing w:before="240" w:after="0"/>
        <w:jc w:val="both"/>
        <w:rPr>
          <w:rFonts w:ascii="Arial" w:hAnsi="Arial" w:cs="Arial"/>
          <w:sz w:val="20"/>
          <w:szCs w:val="20"/>
        </w:rPr>
      </w:pPr>
      <w:r>
        <w:rPr>
          <w:rFonts w:ascii="Arial" w:hAnsi="Arial"/>
          <w:b/>
          <w:bCs/>
          <w:i/>
          <w:iCs/>
          <w:sz w:val="20"/>
          <w:szCs w:val="20"/>
        </w:rPr>
        <w:t>Cost of sales</w:t>
      </w:r>
      <w:r>
        <w:rPr>
          <w:rFonts w:ascii="Arial" w:hAnsi="Arial"/>
          <w:bCs/>
          <w:iCs/>
          <w:sz w:val="20"/>
          <w:szCs w:val="20"/>
        </w:rPr>
        <w:t xml:space="preserve"> was at the level of 2022; a moderate 0.8% increase was due to the new </w:t>
      </w:r>
      <w:proofErr w:type="spellStart"/>
      <w:r>
        <w:rPr>
          <w:rFonts w:ascii="Arial" w:hAnsi="Arial"/>
          <w:bCs/>
          <w:iCs/>
          <w:sz w:val="20"/>
          <w:szCs w:val="20"/>
        </w:rPr>
        <w:t>Vkusno</w:t>
      </w:r>
      <w:proofErr w:type="spellEnd"/>
      <w:r>
        <w:rPr>
          <w:rFonts w:ascii="Arial" w:hAnsi="Arial"/>
          <w:bCs/>
          <w:iCs/>
          <w:sz w:val="20"/>
          <w:szCs w:val="20"/>
        </w:rPr>
        <w:t xml:space="preserve"> </w:t>
      </w:r>
      <w:proofErr w:type="spellStart"/>
      <w:r>
        <w:rPr>
          <w:rFonts w:ascii="Arial" w:hAnsi="Arial"/>
          <w:bCs/>
          <w:iCs/>
          <w:sz w:val="20"/>
          <w:szCs w:val="20"/>
        </w:rPr>
        <w:t>i</w:t>
      </w:r>
      <w:proofErr w:type="spellEnd"/>
      <w:r>
        <w:rPr>
          <w:rFonts w:ascii="Arial" w:hAnsi="Arial"/>
          <w:bCs/>
          <w:iCs/>
          <w:sz w:val="20"/>
          <w:szCs w:val="20"/>
        </w:rPr>
        <w:t xml:space="preserve"> </w:t>
      </w:r>
      <w:proofErr w:type="spellStart"/>
      <w:r>
        <w:rPr>
          <w:rFonts w:ascii="Arial" w:hAnsi="Arial"/>
          <w:bCs/>
          <w:iCs/>
          <w:sz w:val="20"/>
          <w:szCs w:val="20"/>
        </w:rPr>
        <w:t>Tochka</w:t>
      </w:r>
      <w:proofErr w:type="spellEnd"/>
      <w:r>
        <w:rPr>
          <w:rFonts w:ascii="Arial" w:hAnsi="Arial"/>
          <w:bCs/>
          <w:iCs/>
          <w:sz w:val="20"/>
          <w:szCs w:val="20"/>
        </w:rPr>
        <w:t xml:space="preserve"> royalty obligations under a new franchise agreement.</w:t>
      </w:r>
    </w:p>
    <w:p w14:paraId="5D0FA2F3" w14:textId="415E89BA" w:rsidR="00DE1F33" w:rsidRPr="00153711" w:rsidRDefault="008E6DD4" w:rsidP="00DE1F33">
      <w:pPr>
        <w:spacing w:before="240" w:after="0"/>
        <w:jc w:val="both"/>
        <w:rPr>
          <w:rFonts w:ascii="Arial" w:hAnsi="Arial" w:cs="Arial"/>
          <w:sz w:val="20"/>
          <w:szCs w:val="20"/>
        </w:rPr>
      </w:pPr>
      <w:r>
        <w:rPr>
          <w:rFonts w:ascii="Arial" w:hAnsi="Arial"/>
          <w:b/>
          <w:bCs/>
          <w:i/>
          <w:iCs/>
          <w:sz w:val="20"/>
          <w:szCs w:val="20"/>
        </w:rPr>
        <w:t xml:space="preserve">Food costs </w:t>
      </w:r>
      <w:r>
        <w:rPr>
          <w:rFonts w:ascii="Arial" w:hAnsi="Arial"/>
          <w:sz w:val="20"/>
          <w:szCs w:val="20"/>
        </w:rPr>
        <w:t>decreased by 0.1% despite the high inflation rates</w:t>
      </w:r>
      <w:bookmarkEnd w:id="2"/>
      <w:r>
        <w:rPr>
          <w:rFonts w:ascii="Arial" w:hAnsi="Arial"/>
          <w:sz w:val="20"/>
          <w:szCs w:val="20"/>
        </w:rPr>
        <w:t xml:space="preserve"> in 2023, mainly thanks to the implementation of supplier relationship management initiatives and optimization of purchase prices.</w:t>
      </w:r>
    </w:p>
    <w:p w14:paraId="2458E6DA" w14:textId="59862702" w:rsidR="00C51B90" w:rsidRPr="00762182" w:rsidRDefault="008E6DD4" w:rsidP="00C51B90">
      <w:pPr>
        <w:spacing w:before="240" w:after="0"/>
        <w:jc w:val="both"/>
        <w:rPr>
          <w:rFonts w:ascii="Arial" w:eastAsia="Arial" w:hAnsi="Arial" w:cs="Arial"/>
          <w:sz w:val="20"/>
          <w:szCs w:val="20"/>
        </w:rPr>
      </w:pPr>
      <w:bookmarkStart w:id="3" w:name="_Hlk101541641"/>
      <w:r>
        <w:rPr>
          <w:rFonts w:ascii="Arial" w:hAnsi="Arial"/>
          <w:b/>
          <w:bCs/>
          <w:i/>
          <w:iCs/>
          <w:sz w:val="20"/>
          <w:szCs w:val="20"/>
        </w:rPr>
        <w:t>Lease costs</w:t>
      </w:r>
      <w:r>
        <w:rPr>
          <w:rFonts w:ascii="Arial" w:hAnsi="Arial"/>
          <w:b/>
          <w:bCs/>
          <w:i/>
          <w:iCs/>
          <w:color w:val="808080"/>
          <w:sz w:val="20"/>
          <w:szCs w:val="20"/>
          <w:u w:color="808080"/>
        </w:rPr>
        <w:t xml:space="preserve"> </w:t>
      </w:r>
      <w:r>
        <w:rPr>
          <w:rFonts w:ascii="Arial" w:hAnsi="Arial"/>
          <w:sz w:val="20"/>
          <w:szCs w:val="20"/>
        </w:rPr>
        <w:t xml:space="preserve">decreased in 2023 by 0.2 percentage points </w:t>
      </w:r>
      <w:bookmarkEnd w:id="3"/>
      <w:r>
        <w:rPr>
          <w:rFonts w:ascii="Arial" w:hAnsi="Arial"/>
          <w:sz w:val="20"/>
          <w:szCs w:val="20"/>
        </w:rPr>
        <w:t xml:space="preserve">as a result of balancing of revenues and rental costs (calculated as a percentage of the revenues). </w:t>
      </w:r>
    </w:p>
    <w:p w14:paraId="6F1F7EA0" w14:textId="54CCE341" w:rsidR="00F22B55" w:rsidRPr="000E3100" w:rsidRDefault="00C172F7" w:rsidP="00F22B55">
      <w:pPr>
        <w:spacing w:before="240" w:after="0"/>
        <w:jc w:val="both"/>
        <w:rPr>
          <w:rFonts w:ascii="Arial" w:hAnsi="Arial" w:cs="Arial"/>
          <w:sz w:val="20"/>
          <w:szCs w:val="20"/>
        </w:rPr>
      </w:pPr>
      <w:r>
        <w:rPr>
          <w:rFonts w:ascii="Arial" w:hAnsi="Arial"/>
          <w:b/>
          <w:bCs/>
          <w:i/>
          <w:iCs/>
          <w:sz w:val="20"/>
          <w:szCs w:val="20"/>
        </w:rPr>
        <w:t>Gross profit margin</w:t>
      </w:r>
      <w:r>
        <w:rPr>
          <w:rFonts w:ascii="Arial" w:hAnsi="Arial"/>
          <w:sz w:val="20"/>
          <w:szCs w:val="20"/>
        </w:rPr>
        <w:t xml:space="preserve"> decreased by 0.8% (similarly to cost of sales) because expenditures included </w:t>
      </w:r>
      <w:proofErr w:type="spellStart"/>
      <w:r>
        <w:rPr>
          <w:rFonts w:ascii="Arial" w:hAnsi="Arial"/>
          <w:sz w:val="20"/>
          <w:szCs w:val="20"/>
        </w:rPr>
        <w:t>Vkusno</w:t>
      </w:r>
      <w:proofErr w:type="spellEnd"/>
      <w:r>
        <w:rPr>
          <w:rFonts w:ascii="Arial" w:hAnsi="Arial"/>
          <w:sz w:val="20"/>
          <w:szCs w:val="20"/>
        </w:rPr>
        <w:t xml:space="preserve"> i </w:t>
      </w:r>
      <w:proofErr w:type="spellStart"/>
      <w:r>
        <w:rPr>
          <w:rFonts w:ascii="Arial" w:hAnsi="Arial"/>
          <w:sz w:val="20"/>
          <w:szCs w:val="20"/>
        </w:rPr>
        <w:t>Tochka</w:t>
      </w:r>
      <w:proofErr w:type="spellEnd"/>
      <w:r>
        <w:rPr>
          <w:rFonts w:ascii="Arial" w:hAnsi="Arial"/>
          <w:sz w:val="20"/>
          <w:szCs w:val="20"/>
        </w:rPr>
        <w:t xml:space="preserve"> brand royalties, which did not exist in 2022.</w:t>
      </w:r>
    </w:p>
    <w:p w14:paraId="7C17DD83" w14:textId="76221E4A" w:rsidR="00415971" w:rsidRPr="000E3100" w:rsidRDefault="002F5C06">
      <w:pPr>
        <w:spacing w:before="240" w:after="0"/>
        <w:jc w:val="both"/>
        <w:rPr>
          <w:rFonts w:ascii="Arial" w:eastAsia="Arial" w:hAnsi="Arial" w:cs="Arial"/>
          <w:sz w:val="20"/>
          <w:szCs w:val="20"/>
        </w:rPr>
      </w:pPr>
      <w:r>
        <w:rPr>
          <w:rFonts w:ascii="Arial" w:hAnsi="Arial"/>
          <w:b/>
          <w:bCs/>
          <w:i/>
          <w:iCs/>
          <w:sz w:val="20"/>
          <w:szCs w:val="20"/>
        </w:rPr>
        <w:t>Selling, general and administrative expenses</w:t>
      </w:r>
      <w:r>
        <w:rPr>
          <w:rFonts w:ascii="Arial" w:hAnsi="Arial"/>
          <w:color w:val="808080"/>
          <w:sz w:val="20"/>
          <w:szCs w:val="20"/>
          <w:u w:color="808080"/>
        </w:rPr>
        <w:t xml:space="preserve"> </w:t>
      </w:r>
      <w:r>
        <w:rPr>
          <w:rFonts w:ascii="Arial" w:hAnsi="Arial"/>
          <w:sz w:val="20"/>
          <w:szCs w:val="20"/>
        </w:rPr>
        <w:t xml:space="preserve">decreased by 1.8%, to RUB 849 million. </w:t>
      </w:r>
    </w:p>
    <w:p w14:paraId="3A99EDCA" w14:textId="0DB04D73" w:rsidR="00415971" w:rsidRPr="000E3100" w:rsidRDefault="00A73BF3">
      <w:pPr>
        <w:spacing w:before="240" w:after="0"/>
        <w:jc w:val="both"/>
        <w:rPr>
          <w:rFonts w:ascii="Arial" w:eastAsia="Arial" w:hAnsi="Arial" w:cs="Arial"/>
          <w:sz w:val="20"/>
          <w:szCs w:val="20"/>
        </w:rPr>
      </w:pPr>
      <w:r>
        <w:rPr>
          <w:rFonts w:ascii="Arial" w:hAnsi="Arial"/>
          <w:b/>
          <w:bCs/>
          <w:i/>
          <w:iCs/>
          <w:sz w:val="20"/>
          <w:szCs w:val="20"/>
        </w:rPr>
        <w:t xml:space="preserve">Restaurant start-up operating expenses </w:t>
      </w:r>
      <w:r>
        <w:rPr>
          <w:rFonts w:ascii="Arial" w:hAnsi="Arial"/>
          <w:sz w:val="20"/>
          <w:szCs w:val="20"/>
        </w:rPr>
        <w:t>increased to 28 million against 2022, after the Company resumed restaurant start-up activities.</w:t>
      </w:r>
    </w:p>
    <w:p w14:paraId="3E443A52" w14:textId="4A03F94E" w:rsidR="00415971" w:rsidRPr="000E3100" w:rsidRDefault="002541F6">
      <w:pPr>
        <w:spacing w:before="240" w:after="0"/>
        <w:jc w:val="both"/>
        <w:rPr>
          <w:rFonts w:ascii="Arial" w:eastAsia="Arial" w:hAnsi="Arial" w:cs="Arial"/>
          <w:sz w:val="20"/>
          <w:szCs w:val="20"/>
        </w:rPr>
      </w:pPr>
      <w:r>
        <w:rPr>
          <w:rFonts w:ascii="Arial" w:hAnsi="Arial"/>
          <w:b/>
          <w:bCs/>
          <w:i/>
          <w:iCs/>
          <w:sz w:val="20"/>
          <w:szCs w:val="20"/>
        </w:rPr>
        <w:t xml:space="preserve">Other income </w:t>
      </w:r>
      <w:r>
        <w:rPr>
          <w:rFonts w:ascii="Arial" w:hAnsi="Arial"/>
          <w:sz w:val="20"/>
          <w:szCs w:val="20"/>
        </w:rPr>
        <w:t>grew by 47.3%.</w:t>
      </w:r>
    </w:p>
    <w:p w14:paraId="740BC363" w14:textId="27476767" w:rsidR="00955E28" w:rsidRPr="000E3100" w:rsidRDefault="008E6DD4">
      <w:pPr>
        <w:spacing w:before="240" w:after="0"/>
        <w:jc w:val="both"/>
        <w:rPr>
          <w:rFonts w:ascii="Arial" w:eastAsia="Arial" w:hAnsi="Arial" w:cs="Arial"/>
          <w:sz w:val="20"/>
          <w:szCs w:val="20"/>
        </w:rPr>
      </w:pPr>
      <w:r>
        <w:rPr>
          <w:rFonts w:ascii="Arial" w:hAnsi="Arial"/>
          <w:b/>
          <w:bCs/>
          <w:i/>
          <w:iCs/>
          <w:sz w:val="20"/>
          <w:szCs w:val="20"/>
        </w:rPr>
        <w:lastRenderedPageBreak/>
        <w:t xml:space="preserve">Other expenses </w:t>
      </w:r>
      <w:r>
        <w:rPr>
          <w:rFonts w:ascii="Arial" w:hAnsi="Arial"/>
          <w:sz w:val="20"/>
          <w:szCs w:val="20"/>
        </w:rPr>
        <w:t>decreased against 2022 by 34.4%.</w:t>
      </w:r>
    </w:p>
    <w:p w14:paraId="38C2A264" w14:textId="74E0C8AE" w:rsidR="00415971" w:rsidRPr="000E3100" w:rsidRDefault="00615A4A">
      <w:pPr>
        <w:spacing w:before="240" w:after="0"/>
        <w:jc w:val="both"/>
        <w:rPr>
          <w:rFonts w:ascii="Arial" w:hAnsi="Arial" w:cs="Arial"/>
          <w:sz w:val="20"/>
          <w:szCs w:val="20"/>
        </w:rPr>
      </w:pPr>
      <w:r>
        <w:rPr>
          <w:rFonts w:ascii="Arial" w:hAnsi="Arial"/>
          <w:b/>
          <w:bCs/>
          <w:i/>
          <w:iCs/>
          <w:sz w:val="20"/>
          <w:szCs w:val="20"/>
        </w:rPr>
        <w:t>Foreign exchange loss</w:t>
      </w:r>
      <w:r>
        <w:rPr>
          <w:rFonts w:ascii="Arial" w:hAnsi="Arial"/>
          <w:color w:val="808080"/>
          <w:sz w:val="20"/>
          <w:szCs w:val="20"/>
          <w:u w:color="808080"/>
        </w:rPr>
        <w:t xml:space="preserve"> </w:t>
      </w:r>
      <w:r>
        <w:rPr>
          <w:rFonts w:ascii="Arial" w:hAnsi="Arial"/>
          <w:sz w:val="20"/>
          <w:szCs w:val="20"/>
        </w:rPr>
        <w:t>increased in 2023 to RUB 52 million against 2022, as a result of the dollar exchange rate effect.</w:t>
      </w:r>
    </w:p>
    <w:p w14:paraId="1DDCB291" w14:textId="7EF3B42B" w:rsidR="00415971" w:rsidRPr="000E3100" w:rsidRDefault="00201C44">
      <w:pPr>
        <w:spacing w:before="240" w:after="0"/>
        <w:jc w:val="both"/>
        <w:rPr>
          <w:rFonts w:ascii="Arial" w:eastAsia="Arial" w:hAnsi="Arial" w:cs="Arial"/>
          <w:sz w:val="20"/>
          <w:szCs w:val="20"/>
        </w:rPr>
      </w:pPr>
      <w:r>
        <w:rPr>
          <w:rFonts w:ascii="Arial" w:hAnsi="Arial"/>
          <w:b/>
          <w:bCs/>
          <w:i/>
          <w:iCs/>
          <w:sz w:val="20"/>
          <w:szCs w:val="20"/>
        </w:rPr>
        <w:t xml:space="preserve">Gain from reversal of impairment of operating assets </w:t>
      </w:r>
      <w:r>
        <w:rPr>
          <w:rFonts w:ascii="Arial" w:hAnsi="Arial"/>
          <w:bCs/>
          <w:iCs/>
          <w:sz w:val="20"/>
          <w:szCs w:val="20"/>
        </w:rPr>
        <w:t xml:space="preserve">was RUB 1.1 million. </w:t>
      </w:r>
    </w:p>
    <w:p w14:paraId="36BB2F28" w14:textId="0C9997F0" w:rsidR="00415971" w:rsidRPr="000E3100" w:rsidRDefault="008E6DD4">
      <w:pPr>
        <w:spacing w:before="240" w:after="0"/>
        <w:jc w:val="both"/>
        <w:rPr>
          <w:rFonts w:ascii="Arial" w:eastAsia="Arial" w:hAnsi="Arial" w:cs="Arial"/>
          <w:sz w:val="20"/>
          <w:szCs w:val="20"/>
        </w:rPr>
      </w:pPr>
      <w:r>
        <w:rPr>
          <w:rFonts w:ascii="Arial" w:hAnsi="Arial"/>
          <w:b/>
          <w:bCs/>
          <w:i/>
          <w:iCs/>
          <w:sz w:val="20"/>
          <w:szCs w:val="20"/>
        </w:rPr>
        <w:t>Net profit</w:t>
      </w:r>
      <w:r>
        <w:rPr>
          <w:rFonts w:ascii="Arial" w:hAnsi="Arial"/>
          <w:color w:val="808080"/>
          <w:sz w:val="20"/>
          <w:szCs w:val="20"/>
          <w:u w:color="808080"/>
        </w:rPr>
        <w:t xml:space="preserve"> </w:t>
      </w:r>
      <w:r>
        <w:rPr>
          <w:rFonts w:ascii="Arial" w:hAnsi="Arial"/>
          <w:sz w:val="20"/>
          <w:szCs w:val="20"/>
        </w:rPr>
        <w:t xml:space="preserve">came in 2023 to RUB 22 million, against loss of RUB 20 million in 2022. </w:t>
      </w:r>
    </w:p>
    <w:p w14:paraId="76194AED" w14:textId="59A1226D" w:rsidR="00415971" w:rsidRPr="00762182" w:rsidRDefault="00C704BD" w:rsidP="00A937F4">
      <w:pPr>
        <w:spacing w:before="240" w:after="0"/>
        <w:jc w:val="both"/>
        <w:rPr>
          <w:i/>
          <w:iCs/>
          <w:color w:val="808080"/>
          <w:sz w:val="16"/>
          <w:szCs w:val="16"/>
          <w:u w:color="808080"/>
        </w:rPr>
      </w:pPr>
      <w:bookmarkStart w:id="4" w:name="_Hlk101541660"/>
      <w:r>
        <w:rPr>
          <w:rFonts w:ascii="Arial" w:hAnsi="Arial"/>
          <w:b/>
          <w:bCs/>
          <w:i/>
          <w:iCs/>
          <w:sz w:val="20"/>
          <w:szCs w:val="20"/>
        </w:rPr>
        <w:t>EBITDA before impairment and write-offs</w:t>
      </w:r>
      <w:r>
        <w:rPr>
          <w:rFonts w:ascii="Arial" w:hAnsi="Arial"/>
          <w:b/>
          <w:bCs/>
          <w:i/>
          <w:iCs/>
          <w:color w:val="808080"/>
          <w:sz w:val="20"/>
          <w:szCs w:val="20"/>
          <w:u w:color="808080"/>
        </w:rPr>
        <w:t xml:space="preserve"> </w:t>
      </w:r>
      <w:bookmarkEnd w:id="4"/>
      <w:r>
        <w:rPr>
          <w:rFonts w:ascii="Arial" w:hAnsi="Arial"/>
          <w:sz w:val="20"/>
          <w:szCs w:val="20"/>
        </w:rPr>
        <w:t>grew in 2023 by 13.5% against the comparable period and amounted to RUB 781 million, compared with RUB 688 million in 2022.</w:t>
      </w:r>
    </w:p>
    <w:p w14:paraId="435C5A9C" w14:textId="77777777" w:rsidR="00415971" w:rsidRPr="00313A4E" w:rsidRDefault="00415971">
      <w:pPr>
        <w:pStyle w:val="a7"/>
        <w:jc w:val="both"/>
        <w:rPr>
          <w:i/>
          <w:iCs/>
          <w:color w:val="808080"/>
          <w:sz w:val="16"/>
          <w:szCs w:val="16"/>
          <w:u w:color="808080"/>
          <w:lang w:val="en-US"/>
        </w:rPr>
      </w:pPr>
    </w:p>
    <w:p w14:paraId="3023ED5D" w14:textId="77777777" w:rsidR="00415971" w:rsidRPr="00762182" w:rsidRDefault="008E6DD4">
      <w:pPr>
        <w:pStyle w:val="a7"/>
        <w:jc w:val="both"/>
        <w:rPr>
          <w:i/>
          <w:iCs/>
          <w:color w:val="808080"/>
          <w:sz w:val="16"/>
          <w:szCs w:val="16"/>
          <w:u w:color="808080"/>
        </w:rPr>
      </w:pPr>
      <w:r>
        <w:rPr>
          <w:i/>
          <w:iCs/>
          <w:color w:val="808080"/>
          <w:sz w:val="16"/>
          <w:szCs w:val="16"/>
          <w:u w:color="808080"/>
        </w:rPr>
        <w:t>____________________________________________________________________________________________________________</w:t>
      </w:r>
    </w:p>
    <w:p w14:paraId="6D55E133" w14:textId="77777777" w:rsidR="00415971" w:rsidRPr="00313A4E" w:rsidRDefault="00415971">
      <w:pPr>
        <w:pStyle w:val="a7"/>
        <w:jc w:val="both"/>
        <w:rPr>
          <w:i/>
          <w:iCs/>
          <w:color w:val="808080"/>
          <w:sz w:val="16"/>
          <w:szCs w:val="16"/>
          <w:u w:color="808080"/>
          <w:lang w:val="en-US"/>
        </w:rPr>
      </w:pPr>
    </w:p>
    <w:p w14:paraId="12AD4842" w14:textId="77777777" w:rsidR="00415971" w:rsidRPr="00762182" w:rsidRDefault="008E6DD4">
      <w:pPr>
        <w:pStyle w:val="a7"/>
        <w:jc w:val="both"/>
        <w:rPr>
          <w:i/>
          <w:iCs/>
          <w:color w:val="808080"/>
          <w:sz w:val="16"/>
          <w:szCs w:val="16"/>
          <w:u w:color="808080"/>
        </w:rPr>
      </w:pPr>
      <w:r>
        <w:rPr>
          <w:i/>
          <w:iCs/>
          <w:color w:val="808080"/>
          <w:sz w:val="16"/>
          <w:szCs w:val="16"/>
          <w:u w:color="808080"/>
          <w:vertAlign w:val="superscript"/>
        </w:rPr>
        <w:t>[1]</w:t>
      </w:r>
      <w:r>
        <w:rPr>
          <w:i/>
          <w:iCs/>
          <w:color w:val="808080"/>
          <w:sz w:val="16"/>
          <w:szCs w:val="16"/>
          <w:u w:color="808080"/>
        </w:rPr>
        <w:t xml:space="preserve"> Revenue in accordance with IFRS is the consolidated revenue of the </w:t>
      </w:r>
      <w:proofErr w:type="spellStart"/>
      <w:r>
        <w:rPr>
          <w:i/>
          <w:iCs/>
          <w:color w:val="808080"/>
          <w:sz w:val="16"/>
          <w:szCs w:val="16"/>
          <w:u w:color="808080"/>
        </w:rPr>
        <w:t>Rosinter</w:t>
      </w:r>
      <w:proofErr w:type="spellEnd"/>
      <w:r>
        <w:rPr>
          <w:i/>
          <w:iCs/>
          <w:color w:val="808080"/>
          <w:sz w:val="16"/>
          <w:szCs w:val="16"/>
          <w:u w:color="808080"/>
        </w:rPr>
        <w:t xml:space="preserve"> Group calculated in accordance with international financial reporting standards (net of VAT) and includes sales of restaurants and corporate cafes, as well as revenue from sub-lease of premises, revenue from franchising operations and other components.</w:t>
      </w:r>
    </w:p>
    <w:p w14:paraId="1CB9C0A7" w14:textId="77777777" w:rsidR="00415971" w:rsidRPr="00313A4E" w:rsidRDefault="00415971">
      <w:pPr>
        <w:pStyle w:val="a7"/>
        <w:jc w:val="both"/>
        <w:rPr>
          <w:i/>
          <w:iCs/>
          <w:color w:val="808080"/>
          <w:sz w:val="16"/>
          <w:szCs w:val="16"/>
          <w:u w:color="808080"/>
          <w:lang w:val="en-US"/>
        </w:rPr>
      </w:pPr>
    </w:p>
    <w:p w14:paraId="1D2094BF" w14:textId="77777777" w:rsidR="00415971" w:rsidRPr="00762182" w:rsidRDefault="008E6DD4">
      <w:pPr>
        <w:spacing w:after="0" w:line="240" w:lineRule="auto"/>
        <w:jc w:val="both"/>
        <w:rPr>
          <w:rFonts w:ascii="Arial" w:eastAsia="Arial" w:hAnsi="Arial" w:cs="Arial"/>
          <w:i/>
          <w:iCs/>
          <w:color w:val="808080"/>
          <w:sz w:val="16"/>
          <w:szCs w:val="16"/>
          <w:u w:color="808080"/>
        </w:rPr>
      </w:pPr>
      <w:r>
        <w:rPr>
          <w:rFonts w:ascii="Arial" w:hAnsi="Arial"/>
          <w:i/>
          <w:iCs/>
          <w:color w:val="808080"/>
          <w:sz w:val="16"/>
          <w:szCs w:val="16"/>
          <w:u w:color="808080"/>
          <w:vertAlign w:val="superscript"/>
        </w:rPr>
        <w:t>[2]</w:t>
      </w:r>
      <w:r>
        <w:rPr>
          <w:rFonts w:ascii="Arial" w:hAnsi="Arial"/>
          <w:i/>
          <w:iCs/>
          <w:color w:val="808080"/>
          <w:sz w:val="16"/>
          <w:szCs w:val="16"/>
          <w:u w:color="808080"/>
        </w:rPr>
        <w:t xml:space="preserve"> EBITDA is calculated by adding back depreciation and amortization to profit from operating activities after impairment. EBITDA measures are not standard measures under IFRS and should not be considered as an alternative to the net profit, operating profit, operating cash flows or any other standard measures in accordance with IFRS. Our approach to calculating EBITDA may differ from the approach of other companies. </w:t>
      </w:r>
    </w:p>
    <w:p w14:paraId="792791F8" w14:textId="77777777" w:rsidR="00415971" w:rsidRPr="00762182" w:rsidRDefault="00415971">
      <w:pPr>
        <w:spacing w:after="0" w:line="240" w:lineRule="auto"/>
        <w:jc w:val="both"/>
        <w:rPr>
          <w:rFonts w:ascii="Arial" w:eastAsia="Arial" w:hAnsi="Arial" w:cs="Arial"/>
          <w:i/>
          <w:iCs/>
          <w:color w:val="808080"/>
          <w:sz w:val="16"/>
          <w:szCs w:val="16"/>
          <w:u w:color="808080"/>
        </w:rPr>
      </w:pPr>
    </w:p>
    <w:p w14:paraId="7E17DCEA" w14:textId="2EF44FA1" w:rsidR="00415971" w:rsidRPr="00762182" w:rsidRDefault="008E6DD4">
      <w:pPr>
        <w:jc w:val="both"/>
        <w:rPr>
          <w:rFonts w:ascii="Arial" w:eastAsia="Arial" w:hAnsi="Arial" w:cs="Arial"/>
          <w:color w:val="808080"/>
          <w:sz w:val="18"/>
          <w:szCs w:val="18"/>
          <w:u w:color="808080"/>
        </w:rPr>
      </w:pPr>
      <w:r>
        <w:rPr>
          <w:rFonts w:ascii="Arial" w:hAnsi="Arial"/>
          <w:color w:val="808080"/>
          <w:sz w:val="18"/>
          <w:szCs w:val="18"/>
          <w:u w:color="808080"/>
        </w:rPr>
        <w:t>Information in this press release is based on "forward-looking statements", which include all statements other than statements of historical fact. Such forward-looking statements can be often identified by words such as “plans”, “believes”, “anticipates”, “expects”, “intends”, “estimates”, “will”, “may”, “required”, “should” and similar expressions. Such forward-looking statements involve known and unknown risks, uncertainties and other important factors beyond the Company's and/or its Management's control that could cause the actual results to be materially different from those expressed or implied by such forward-looking statements. Such forward-looking statements are based on numerous assumptions regarding the Company's present and future business strategies and the environment in which the Company will operate in the future. By their nature, forward-looking statements involve risks and uncertainties because they relate to events and depend on circumstances that may or may not occur in the future. These forward-looking statements speak only as at the date as of which they are made, and the Company and/or its Management does not intend and has no duty or obligation to supplement, amend, update or revise any of the forward-looking statements contained herein to reflect any change in events, conditions or circumstances on which any such statements are based. The information and opinions contained in this press release are only valid as at the date hereof and may be subsequently revised without notice of any kind and form.</w:t>
      </w:r>
    </w:p>
    <w:p w14:paraId="7482E6BB" w14:textId="77777777" w:rsidR="00415971" w:rsidRPr="00741E1A" w:rsidRDefault="008E6DD4">
      <w:pPr>
        <w:spacing w:before="120" w:after="120" w:line="240" w:lineRule="auto"/>
        <w:jc w:val="center"/>
        <w:rPr>
          <w:rFonts w:ascii="Arial" w:hAnsi="Arial"/>
          <w:color w:val="595959"/>
          <w:u w:color="595959"/>
        </w:rPr>
      </w:pPr>
      <w:r>
        <w:rPr>
          <w:rFonts w:ascii="Arial" w:hAnsi="Arial"/>
          <w:color w:val="595959"/>
          <w:u w:color="595959"/>
        </w:rPr>
        <w:t>*</w:t>
      </w:r>
      <w:r>
        <w:rPr>
          <w:rFonts w:ascii="Arial" w:hAnsi="Arial"/>
          <w:color w:val="595959"/>
          <w:u w:color="595959"/>
        </w:rPr>
        <w:tab/>
      </w:r>
      <w:r>
        <w:rPr>
          <w:rFonts w:ascii="Arial" w:hAnsi="Arial"/>
          <w:color w:val="595959"/>
          <w:u w:color="595959"/>
        </w:rPr>
        <w:tab/>
        <w:t>*</w:t>
      </w:r>
      <w:r>
        <w:rPr>
          <w:rFonts w:ascii="Arial" w:hAnsi="Arial"/>
          <w:color w:val="595959"/>
          <w:u w:color="595959"/>
        </w:rPr>
        <w:tab/>
      </w:r>
      <w:r>
        <w:rPr>
          <w:rFonts w:ascii="Arial" w:hAnsi="Arial"/>
          <w:color w:val="595959"/>
          <w:u w:color="595959"/>
        </w:rPr>
        <w:tab/>
        <w:t>*</w:t>
      </w:r>
    </w:p>
    <w:p w14:paraId="7E67ABB2" w14:textId="77777777" w:rsidR="00741E1A" w:rsidRPr="00645841" w:rsidRDefault="00741E1A" w:rsidP="00741E1A">
      <w:pPr>
        <w:autoSpaceDE w:val="0"/>
        <w:autoSpaceDN w:val="0"/>
        <w:adjustRightInd w:val="0"/>
        <w:rPr>
          <w:rFonts w:ascii="Arial" w:hAnsi="Arial"/>
          <w:b/>
          <w:bCs/>
          <w:color w:val="595959"/>
          <w:sz w:val="18"/>
          <w:szCs w:val="18"/>
          <w:u w:color="595959"/>
        </w:rPr>
      </w:pPr>
      <w:r>
        <w:rPr>
          <w:rFonts w:ascii="Arial" w:hAnsi="Arial"/>
          <w:b/>
          <w:bCs/>
          <w:color w:val="595959"/>
          <w:sz w:val="18"/>
          <w:szCs w:val="18"/>
          <w:u w:color="595959"/>
        </w:rPr>
        <w:t xml:space="preserve">Note to Editors: </w:t>
      </w:r>
    </w:p>
    <w:p w14:paraId="368ADA70" w14:textId="0806E76C" w:rsidR="00741E1A" w:rsidRPr="00645841" w:rsidRDefault="00741E1A" w:rsidP="00741E1A">
      <w:pPr>
        <w:jc w:val="both"/>
        <w:rPr>
          <w:rFonts w:ascii="Arial" w:hAnsi="Arial"/>
          <w:color w:val="595959"/>
          <w:sz w:val="18"/>
          <w:szCs w:val="18"/>
          <w:u w:color="595959"/>
        </w:rPr>
      </w:pPr>
      <w:r>
        <w:rPr>
          <w:rFonts w:ascii="Arial" w:hAnsi="Arial"/>
          <w:color w:val="595959"/>
          <w:sz w:val="18"/>
          <w:szCs w:val="18"/>
          <w:u w:color="595959"/>
        </w:rPr>
        <w:t xml:space="preserve">As at the end of 2023, </w:t>
      </w:r>
      <w:proofErr w:type="spellStart"/>
      <w:r>
        <w:rPr>
          <w:rFonts w:ascii="Arial" w:hAnsi="Arial"/>
          <w:color w:val="595959"/>
          <w:sz w:val="18"/>
          <w:szCs w:val="18"/>
          <w:u w:color="595959"/>
        </w:rPr>
        <w:t>Rosinter</w:t>
      </w:r>
      <w:proofErr w:type="spellEnd"/>
      <w:r>
        <w:rPr>
          <w:rFonts w:ascii="Arial" w:hAnsi="Arial"/>
          <w:color w:val="595959"/>
          <w:sz w:val="18"/>
          <w:szCs w:val="18"/>
          <w:u w:color="595959"/>
        </w:rPr>
        <w:t xml:space="preserve"> Restaurants Holding PJSC is a major casual dining restaurant operator in Russia, running 210 retail outlets in 30 cities of Russia and CIS. The chain has 113 corporate restaurants and 97 franchised restaurants and cafes. The company develops its own brands IL Patio, Planet Sushi,</w:t>
      </w:r>
      <w:r>
        <w:rPr>
          <w:rFonts w:ascii="Arial" w:hAnsi="Arial"/>
          <w:color w:val="595959"/>
          <w:sz w:val="18"/>
          <w:szCs w:val="18"/>
          <w:u w:color="595959"/>
        </w:rPr>
        <w:cr/>
      </w:r>
      <w:r>
        <w:rPr>
          <w:rFonts w:ascii="Arial" w:hAnsi="Arial"/>
          <w:color w:val="595959"/>
          <w:sz w:val="18"/>
          <w:szCs w:val="18"/>
          <w:u w:color="595959"/>
        </w:rPr>
        <w:br/>
        <w:t>Shikari, American Bar &amp; Grill, and Mama Russia, and also operates under franchise agreements a chain of</w:t>
      </w:r>
      <w:r>
        <w:rPr>
          <w:rFonts w:ascii="Arial" w:hAnsi="Arial"/>
          <w:color w:val="595959"/>
          <w:sz w:val="18"/>
          <w:szCs w:val="18"/>
          <w:u w:color="595959"/>
        </w:rPr>
        <w:cr/>
      </w:r>
      <w:r>
        <w:rPr>
          <w:rFonts w:ascii="Arial" w:hAnsi="Arial"/>
          <w:color w:val="595959"/>
          <w:sz w:val="18"/>
          <w:szCs w:val="18"/>
          <w:u w:color="595959"/>
        </w:rPr>
        <w:br/>
        <w:t xml:space="preserve">TGI FRIDAYS restaurants. </w:t>
      </w:r>
    </w:p>
    <w:p w14:paraId="07EACD90" w14:textId="77777777" w:rsidR="00741E1A" w:rsidRPr="00645841" w:rsidRDefault="00741E1A" w:rsidP="00741E1A">
      <w:pPr>
        <w:pStyle w:val="Default"/>
        <w:jc w:val="both"/>
        <w:rPr>
          <w:rFonts w:eastAsia="Calibri" w:cs="Calibri"/>
          <w:color w:val="595959"/>
          <w:sz w:val="18"/>
          <w:szCs w:val="18"/>
          <w:u w:color="595959"/>
          <w:bdr w:val="nil"/>
        </w:rPr>
      </w:pPr>
      <w:proofErr w:type="spellStart"/>
      <w:r>
        <w:rPr>
          <w:color w:val="595959"/>
          <w:sz w:val="18"/>
          <w:szCs w:val="18"/>
          <w:u w:color="595959"/>
          <w:bdr w:val="nil"/>
        </w:rPr>
        <w:t>Rosinter</w:t>
      </w:r>
      <w:proofErr w:type="spellEnd"/>
      <w:r>
        <w:rPr>
          <w:color w:val="595959"/>
          <w:sz w:val="18"/>
          <w:szCs w:val="18"/>
          <w:u w:color="595959"/>
          <w:bdr w:val="nil"/>
        </w:rPr>
        <w:t xml:space="preserve"> Restaurants Holding is listed on the Moscow Exchange MICEX (www.moex.com) under the stock ticker ROST. </w:t>
      </w:r>
    </w:p>
    <w:p w14:paraId="50483D62" w14:textId="77777777" w:rsidR="00741E1A" w:rsidRPr="00645841" w:rsidRDefault="00741E1A">
      <w:pPr>
        <w:spacing w:before="120" w:after="120" w:line="240" w:lineRule="auto"/>
        <w:jc w:val="center"/>
        <w:rPr>
          <w:rFonts w:ascii="Arial" w:eastAsia="Arial" w:hAnsi="Arial" w:cs="Arial"/>
          <w:color w:val="595959"/>
          <w:sz w:val="18"/>
          <w:szCs w:val="18"/>
          <w:u w:color="595959"/>
        </w:rPr>
      </w:pPr>
    </w:p>
    <w:tbl>
      <w:tblPr>
        <w:tblStyle w:val="TableNormal1"/>
        <w:tblW w:w="10042" w:type="dxa"/>
        <w:jc w:val="center"/>
        <w:shd w:val="clear" w:color="auto" w:fill="CED7E7"/>
        <w:tblLayout w:type="fixed"/>
        <w:tblLook w:val="04A0" w:firstRow="1" w:lastRow="0" w:firstColumn="1" w:lastColumn="0" w:noHBand="0" w:noVBand="1"/>
      </w:tblPr>
      <w:tblGrid>
        <w:gridCol w:w="5167"/>
        <w:gridCol w:w="4875"/>
      </w:tblGrid>
      <w:tr w:rsidR="00415971" w:rsidRPr="00645841" w14:paraId="0867C59A" w14:textId="77777777" w:rsidTr="00741E1A">
        <w:trPr>
          <w:trHeight w:val="1553"/>
          <w:jc w:val="center"/>
        </w:trPr>
        <w:tc>
          <w:tcPr>
            <w:tcW w:w="5167" w:type="dxa"/>
            <w:shd w:val="clear" w:color="auto" w:fill="auto"/>
            <w:tcMar>
              <w:top w:w="80" w:type="dxa"/>
              <w:left w:w="80" w:type="dxa"/>
              <w:bottom w:w="80" w:type="dxa"/>
              <w:right w:w="80" w:type="dxa"/>
            </w:tcMar>
          </w:tcPr>
          <w:p w14:paraId="5CDA7929" w14:textId="5B2DC295" w:rsidR="00415971" w:rsidRPr="00645841" w:rsidRDefault="008E6DD4">
            <w:pPr>
              <w:spacing w:after="0" w:line="240" w:lineRule="auto"/>
              <w:rPr>
                <w:rFonts w:ascii="Arial" w:eastAsia="Arial" w:hAnsi="Arial" w:cs="Arial"/>
                <w:color w:val="595959"/>
                <w:sz w:val="18"/>
                <w:szCs w:val="18"/>
                <w:u w:color="595959"/>
              </w:rPr>
            </w:pPr>
            <w:r>
              <w:rPr>
                <w:rFonts w:ascii="Arial" w:hAnsi="Arial"/>
                <w:b/>
                <w:bCs/>
                <w:color w:val="595959"/>
                <w:sz w:val="18"/>
                <w:szCs w:val="18"/>
                <w:u w:color="595959"/>
              </w:rPr>
              <w:t xml:space="preserve">Investors and </w:t>
            </w:r>
            <w:proofErr w:type="gramStart"/>
            <w:r>
              <w:rPr>
                <w:rFonts w:ascii="Arial" w:hAnsi="Arial"/>
                <w:b/>
                <w:bCs/>
                <w:color w:val="595959"/>
                <w:sz w:val="18"/>
                <w:szCs w:val="18"/>
                <w:u w:color="595959"/>
              </w:rPr>
              <w:t>analysts</w:t>
            </w:r>
            <w:proofErr w:type="gramEnd"/>
            <w:r>
              <w:rPr>
                <w:rFonts w:ascii="Arial" w:hAnsi="Arial"/>
                <w:b/>
                <w:bCs/>
                <w:color w:val="595959"/>
                <w:sz w:val="18"/>
                <w:szCs w:val="18"/>
                <w:u w:color="595959"/>
              </w:rPr>
              <w:t xml:space="preserve"> enquiries:</w:t>
            </w:r>
            <w:r>
              <w:rPr>
                <w:rFonts w:ascii="Arial" w:hAnsi="Arial"/>
                <w:color w:val="5F5F5F"/>
                <w:sz w:val="18"/>
                <w:szCs w:val="18"/>
                <w:u w:color="5F5F5F"/>
              </w:rPr>
              <w:t xml:space="preserve"> </w:t>
            </w:r>
          </w:p>
          <w:p w14:paraId="44670305" w14:textId="77777777" w:rsidR="00415971" w:rsidRPr="00645841" w:rsidRDefault="00415971">
            <w:pPr>
              <w:spacing w:after="0" w:line="240" w:lineRule="auto"/>
              <w:rPr>
                <w:rFonts w:ascii="Arial" w:eastAsia="Arial" w:hAnsi="Arial" w:cs="Arial"/>
                <w:color w:val="5F5F5F"/>
                <w:sz w:val="18"/>
                <w:szCs w:val="18"/>
                <w:u w:color="5F5F5F"/>
              </w:rPr>
            </w:pPr>
          </w:p>
          <w:p w14:paraId="3EEBAA96" w14:textId="77777777" w:rsidR="00415971" w:rsidRPr="00645841" w:rsidRDefault="008E6DD4">
            <w:pPr>
              <w:spacing w:after="0" w:line="240" w:lineRule="auto"/>
              <w:rPr>
                <w:rFonts w:ascii="Arial" w:eastAsia="Arial" w:hAnsi="Arial" w:cs="Arial"/>
                <w:color w:val="595959"/>
                <w:sz w:val="18"/>
                <w:szCs w:val="18"/>
                <w:u w:color="595959"/>
              </w:rPr>
            </w:pPr>
            <w:r>
              <w:rPr>
                <w:rFonts w:ascii="Arial" w:hAnsi="Arial"/>
                <w:b/>
                <w:bCs/>
                <w:color w:val="595959"/>
                <w:sz w:val="18"/>
                <w:szCs w:val="18"/>
                <w:u w:color="595959"/>
              </w:rPr>
              <w:t xml:space="preserve">Alexey </w:t>
            </w:r>
            <w:proofErr w:type="spellStart"/>
            <w:r>
              <w:rPr>
                <w:rFonts w:ascii="Arial" w:hAnsi="Arial"/>
                <w:b/>
                <w:bCs/>
                <w:color w:val="595959"/>
                <w:sz w:val="18"/>
                <w:szCs w:val="18"/>
                <w:u w:color="595959"/>
              </w:rPr>
              <w:t>Shorokhov</w:t>
            </w:r>
            <w:proofErr w:type="spellEnd"/>
          </w:p>
          <w:p w14:paraId="71FC192D" w14:textId="77777777" w:rsidR="00415971" w:rsidRPr="00645841" w:rsidRDefault="008E6DD4">
            <w:pPr>
              <w:spacing w:after="0" w:line="240" w:lineRule="auto"/>
              <w:rPr>
                <w:rFonts w:ascii="Arial" w:eastAsia="Arial" w:hAnsi="Arial" w:cs="Arial"/>
                <w:color w:val="5F5F5F"/>
                <w:sz w:val="18"/>
                <w:szCs w:val="18"/>
                <w:u w:color="5F5F5F"/>
              </w:rPr>
            </w:pPr>
            <w:r>
              <w:rPr>
                <w:rFonts w:ascii="Arial" w:hAnsi="Arial"/>
                <w:color w:val="595959"/>
                <w:sz w:val="18"/>
                <w:szCs w:val="18"/>
                <w:u w:color="595959"/>
              </w:rPr>
              <w:t>CFO</w:t>
            </w:r>
          </w:p>
          <w:p w14:paraId="6F5EC7A2" w14:textId="77777777" w:rsidR="00415971" w:rsidRPr="00645841" w:rsidRDefault="00415971">
            <w:pPr>
              <w:spacing w:after="0" w:line="240" w:lineRule="auto"/>
              <w:rPr>
                <w:rFonts w:ascii="Arial" w:eastAsia="Arial" w:hAnsi="Arial" w:cs="Arial"/>
                <w:b/>
                <w:bCs/>
                <w:color w:val="5F5F5F"/>
                <w:sz w:val="18"/>
                <w:szCs w:val="18"/>
                <w:u w:color="5F5F5F"/>
              </w:rPr>
            </w:pPr>
          </w:p>
          <w:p w14:paraId="221D8E76" w14:textId="438CAB92" w:rsidR="00741E1A" w:rsidRPr="00645841" w:rsidRDefault="000D12DC" w:rsidP="00741E1A">
            <w:pPr>
              <w:spacing w:after="0" w:line="240" w:lineRule="auto"/>
              <w:rPr>
                <w:sz w:val="18"/>
                <w:szCs w:val="18"/>
              </w:rPr>
            </w:pPr>
            <w:hyperlink r:id="rId10" w:history="1">
              <w:r w:rsidR="00CE74FA">
                <w:rPr>
                  <w:rStyle w:val="a3"/>
                  <w:rFonts w:ascii="Arial" w:hAnsi="Arial"/>
                  <w:sz w:val="18"/>
                  <w:szCs w:val="18"/>
                </w:rPr>
                <w:t>IR@rosinter.ru</w:t>
              </w:r>
            </w:hyperlink>
          </w:p>
        </w:tc>
        <w:tc>
          <w:tcPr>
            <w:tcW w:w="4875" w:type="dxa"/>
            <w:shd w:val="clear" w:color="auto" w:fill="auto"/>
            <w:tcMar>
              <w:top w:w="80" w:type="dxa"/>
              <w:left w:w="80" w:type="dxa"/>
              <w:bottom w:w="80" w:type="dxa"/>
              <w:right w:w="80" w:type="dxa"/>
            </w:tcMar>
          </w:tcPr>
          <w:p w14:paraId="62EEFB0A" w14:textId="77777777" w:rsidR="00415971" w:rsidRPr="00313A4E" w:rsidRDefault="008E6DD4" w:rsidP="00741E1A">
            <w:pPr>
              <w:spacing w:after="0" w:line="240" w:lineRule="auto"/>
              <w:rPr>
                <w:rFonts w:ascii="Arial" w:eastAsia="Arial" w:hAnsi="Arial" w:cs="Arial"/>
                <w:color w:val="5F5F5F"/>
                <w:sz w:val="18"/>
                <w:szCs w:val="18"/>
                <w:u w:color="5F5F5F"/>
                <w:lang w:val="fr-FR"/>
              </w:rPr>
            </w:pPr>
            <w:r w:rsidRPr="00313A4E">
              <w:rPr>
                <w:rFonts w:ascii="Arial" w:hAnsi="Arial"/>
                <w:b/>
                <w:color w:val="5F5F5F"/>
                <w:sz w:val="18"/>
                <w:szCs w:val="18"/>
                <w:u w:color="5F5F5F"/>
                <w:lang w:val="fr-FR"/>
              </w:rPr>
              <w:t>Press enquiries:</w:t>
            </w:r>
          </w:p>
          <w:p w14:paraId="052194FD" w14:textId="77777777" w:rsidR="00415971" w:rsidRPr="00313A4E" w:rsidRDefault="00415971" w:rsidP="00741E1A">
            <w:pPr>
              <w:spacing w:after="0" w:line="240" w:lineRule="auto"/>
              <w:rPr>
                <w:rFonts w:ascii="Arial" w:eastAsia="Arial" w:hAnsi="Arial" w:cs="Arial"/>
                <w:color w:val="5F5F5F"/>
                <w:sz w:val="18"/>
                <w:szCs w:val="18"/>
                <w:u w:color="5F5F5F"/>
                <w:lang w:val="fr-FR"/>
              </w:rPr>
            </w:pPr>
          </w:p>
          <w:p w14:paraId="745D6607" w14:textId="77777777" w:rsidR="00415971" w:rsidRPr="00313A4E" w:rsidRDefault="008E6DD4" w:rsidP="00741E1A">
            <w:pPr>
              <w:spacing w:after="0" w:line="240" w:lineRule="auto"/>
              <w:rPr>
                <w:rFonts w:ascii="Arial" w:eastAsia="Arial" w:hAnsi="Arial" w:cs="Arial"/>
                <w:b/>
                <w:bCs/>
                <w:color w:val="5F5F5F"/>
                <w:sz w:val="18"/>
                <w:szCs w:val="18"/>
                <w:u w:color="5F5F5F"/>
                <w:lang w:val="fr-FR"/>
              </w:rPr>
            </w:pPr>
            <w:r w:rsidRPr="00313A4E">
              <w:rPr>
                <w:rFonts w:ascii="Arial" w:hAnsi="Arial"/>
                <w:b/>
                <w:bCs/>
                <w:color w:val="5F5F5F"/>
                <w:sz w:val="18"/>
                <w:szCs w:val="18"/>
                <w:u w:color="5F5F5F"/>
                <w:lang w:val="fr-FR"/>
              </w:rPr>
              <w:t xml:space="preserve">Tatyana Zotova </w:t>
            </w:r>
          </w:p>
          <w:p w14:paraId="3E201C9E" w14:textId="77777777" w:rsidR="00415971" w:rsidRPr="00313A4E" w:rsidRDefault="008E6DD4" w:rsidP="00741E1A">
            <w:pPr>
              <w:spacing w:after="0" w:line="240" w:lineRule="auto"/>
              <w:rPr>
                <w:rFonts w:ascii="Arial" w:eastAsia="Arial" w:hAnsi="Arial" w:cs="Arial"/>
                <w:b/>
                <w:bCs/>
                <w:color w:val="5F5F5F"/>
                <w:sz w:val="18"/>
                <w:szCs w:val="18"/>
                <w:u w:color="5F5F5F"/>
                <w:lang w:val="fr-FR"/>
              </w:rPr>
            </w:pPr>
            <w:r w:rsidRPr="00313A4E">
              <w:rPr>
                <w:rFonts w:ascii="Arial" w:hAnsi="Arial"/>
                <w:color w:val="595959"/>
                <w:sz w:val="18"/>
                <w:szCs w:val="18"/>
                <w:u w:color="595959"/>
                <w:lang w:val="fr-FR"/>
              </w:rPr>
              <w:t>PR Director</w:t>
            </w:r>
          </w:p>
          <w:p w14:paraId="70F6BFD3" w14:textId="77777777" w:rsidR="00415971" w:rsidRPr="00313A4E" w:rsidRDefault="00415971" w:rsidP="00741E1A">
            <w:pPr>
              <w:spacing w:after="0" w:line="240" w:lineRule="auto"/>
              <w:rPr>
                <w:rFonts w:ascii="Arial" w:eastAsia="Arial" w:hAnsi="Arial" w:cs="Arial"/>
                <w:color w:val="5F5F5F"/>
                <w:sz w:val="18"/>
                <w:szCs w:val="18"/>
                <w:u w:color="5F5F5F"/>
                <w:lang w:val="fr-FR"/>
              </w:rPr>
            </w:pPr>
          </w:p>
          <w:p w14:paraId="4529E71B" w14:textId="77777777" w:rsidR="00415971" w:rsidRPr="00313A4E" w:rsidRDefault="008E6DD4" w:rsidP="00741E1A">
            <w:pPr>
              <w:spacing w:after="0" w:line="240" w:lineRule="auto"/>
              <w:rPr>
                <w:rFonts w:ascii="Arial" w:eastAsia="Arial" w:hAnsi="Arial" w:cs="Arial"/>
                <w:color w:val="5F5F5F"/>
                <w:sz w:val="18"/>
                <w:szCs w:val="18"/>
                <w:u w:color="5F5F5F"/>
                <w:lang w:val="fr-FR"/>
              </w:rPr>
            </w:pPr>
            <w:r w:rsidRPr="00313A4E">
              <w:rPr>
                <w:rFonts w:ascii="Arial" w:hAnsi="Arial"/>
                <w:color w:val="5F5F5F"/>
                <w:sz w:val="18"/>
                <w:szCs w:val="18"/>
                <w:u w:color="5F5F5F"/>
                <w:lang w:val="fr-FR"/>
              </w:rPr>
              <w:t xml:space="preserve">tzotova@rosinter.ru </w:t>
            </w:r>
          </w:p>
          <w:p w14:paraId="7393CE8C" w14:textId="77777777" w:rsidR="00415971" w:rsidRPr="00645841" w:rsidRDefault="008E6DD4" w:rsidP="00741E1A">
            <w:pPr>
              <w:spacing w:after="0" w:line="240" w:lineRule="auto"/>
              <w:rPr>
                <w:sz w:val="18"/>
                <w:szCs w:val="18"/>
              </w:rPr>
            </w:pPr>
            <w:r>
              <w:rPr>
                <w:rFonts w:ascii="Arial" w:hAnsi="Arial"/>
                <w:color w:val="5F5F5F"/>
                <w:sz w:val="18"/>
                <w:szCs w:val="18"/>
                <w:u w:color="5F5F5F"/>
              </w:rPr>
              <w:t>Tel: +7 495 788 44 88 ext. 1560</w:t>
            </w:r>
          </w:p>
        </w:tc>
      </w:tr>
    </w:tbl>
    <w:p w14:paraId="00DAB7EE" w14:textId="397A29BA" w:rsidR="00747B93" w:rsidRDefault="00747B93">
      <w:pPr>
        <w:spacing w:after="0" w:line="240" w:lineRule="auto"/>
      </w:pPr>
    </w:p>
    <w:p w14:paraId="61CEE0E1" w14:textId="77777777" w:rsidR="00747B93" w:rsidRPr="00762182" w:rsidRDefault="00747B93" w:rsidP="00747B93">
      <w:pPr>
        <w:spacing w:after="0" w:line="240" w:lineRule="auto"/>
        <w:rPr>
          <w:rFonts w:ascii="Arial" w:eastAsia="Arial" w:hAnsi="Arial" w:cs="Arial"/>
          <w:b/>
          <w:bCs/>
          <w:color w:val="595959"/>
          <w:sz w:val="20"/>
          <w:szCs w:val="20"/>
          <w:u w:val="single" w:color="595959"/>
        </w:rPr>
      </w:pPr>
    </w:p>
    <w:p w14:paraId="58960A26" w14:textId="77777777" w:rsidR="00747B93" w:rsidRPr="00762182" w:rsidRDefault="00747B93" w:rsidP="00747B93">
      <w:pPr>
        <w:spacing w:after="20"/>
        <w:jc w:val="right"/>
        <w:rPr>
          <w:rFonts w:ascii="Arial" w:eastAsia="Arial" w:hAnsi="Arial" w:cs="Arial"/>
          <w:b/>
          <w:bCs/>
          <w:sz w:val="20"/>
          <w:szCs w:val="20"/>
        </w:rPr>
      </w:pPr>
      <w:r>
        <w:rPr>
          <w:rFonts w:ascii="Arial" w:hAnsi="Arial"/>
          <w:b/>
          <w:bCs/>
          <w:sz w:val="20"/>
          <w:szCs w:val="20"/>
        </w:rPr>
        <w:t>APPENDIX 1</w:t>
      </w:r>
    </w:p>
    <w:p w14:paraId="0F10288D" w14:textId="77777777" w:rsidR="00747B93" w:rsidRPr="00762182" w:rsidRDefault="00747B93" w:rsidP="00747B93">
      <w:pPr>
        <w:spacing w:after="20"/>
        <w:rPr>
          <w:rFonts w:ascii="Arial" w:eastAsia="Arial" w:hAnsi="Arial" w:cs="Arial"/>
          <w:b/>
          <w:bCs/>
          <w:sz w:val="20"/>
          <w:szCs w:val="20"/>
        </w:rPr>
      </w:pPr>
    </w:p>
    <w:p w14:paraId="79F06D67" w14:textId="77777777" w:rsidR="00747B93" w:rsidRPr="00762182" w:rsidRDefault="00747B93" w:rsidP="00747B93">
      <w:pPr>
        <w:pStyle w:val="ZX1CompanyName12"/>
        <w:jc w:val="center"/>
        <w:rPr>
          <w:i/>
          <w:iCs/>
          <w:sz w:val="12"/>
          <w:szCs w:val="12"/>
        </w:rPr>
      </w:pPr>
      <w:bookmarkStart w:id="5" w:name="OLE_LINK1"/>
      <w:r>
        <w:rPr>
          <w:rFonts w:ascii="Times New Roman" w:hAnsi="Times New Roman"/>
          <w:b w:val="0"/>
          <w:bCs w:val="0"/>
          <w:caps w:val="0"/>
          <w:sz w:val="28"/>
          <w:szCs w:val="28"/>
        </w:rPr>
        <w:lastRenderedPageBreak/>
        <w:t>Consolidated statement of financial position as of 31 December 2023</w:t>
      </w:r>
    </w:p>
    <w:p w14:paraId="17A213DD" w14:textId="77777777" w:rsidR="00747B93" w:rsidRPr="00762182" w:rsidRDefault="00747B93" w:rsidP="00747B93">
      <w:pPr>
        <w:spacing w:after="0" w:line="240" w:lineRule="auto"/>
        <w:jc w:val="center"/>
        <w:rPr>
          <w:rFonts w:ascii="Times New Roman" w:eastAsia="Times New Roman" w:hAnsi="Times New Roman" w:cs="Times New Roman"/>
          <w:i/>
          <w:iCs/>
          <w:sz w:val="12"/>
          <w:szCs w:val="12"/>
        </w:rPr>
      </w:pPr>
    </w:p>
    <w:p w14:paraId="4DFFD30F" w14:textId="7052B5FB" w:rsidR="00747B93" w:rsidRPr="009F06F5" w:rsidRDefault="00747B93" w:rsidP="009F06F5">
      <w:pPr>
        <w:spacing w:after="0" w:line="240" w:lineRule="auto"/>
        <w:jc w:val="center"/>
        <w:rPr>
          <w:rFonts w:ascii="Times New Roman" w:eastAsia="Times New Roman" w:hAnsi="Times New Roman" w:cs="Times New Roman"/>
          <w:i/>
          <w:iCs/>
        </w:rPr>
      </w:pPr>
      <w:r>
        <w:rPr>
          <w:rFonts w:ascii="Times New Roman" w:hAnsi="Times New Roman"/>
          <w:i/>
          <w:iCs/>
        </w:rPr>
        <w:t>(All amounts are in thousands of Russian roubles unless specified otherwise)</w:t>
      </w:r>
      <w:bookmarkEnd w:id="5"/>
    </w:p>
    <w:p w14:paraId="6A50BF89" w14:textId="77777777" w:rsidR="00747B93" w:rsidRPr="00762182" w:rsidRDefault="00747B93" w:rsidP="00747B93">
      <w:pPr>
        <w:spacing w:after="0" w:line="240" w:lineRule="auto"/>
        <w:jc w:val="both"/>
        <w:rPr>
          <w:rFonts w:ascii="Arial" w:eastAsia="Arial" w:hAnsi="Arial" w:cs="Arial"/>
          <w:color w:val="808080"/>
          <w:sz w:val="18"/>
          <w:szCs w:val="18"/>
          <w:u w:color="808080"/>
        </w:rPr>
      </w:pPr>
    </w:p>
    <w:p w14:paraId="36D0E9D9" w14:textId="46E324B2" w:rsidR="00747B93" w:rsidRPr="00762182" w:rsidRDefault="009F06F5" w:rsidP="00747B93">
      <w:pPr>
        <w:spacing w:after="0" w:line="240" w:lineRule="auto"/>
        <w:jc w:val="both"/>
        <w:rPr>
          <w:rFonts w:ascii="Arial" w:eastAsia="Arial" w:hAnsi="Arial" w:cs="Arial"/>
          <w:color w:val="808080"/>
          <w:sz w:val="18"/>
          <w:szCs w:val="18"/>
          <w:u w:color="808080"/>
        </w:rPr>
      </w:pPr>
      <w:r w:rsidRPr="009F06F5">
        <w:drawing>
          <wp:inline distT="0" distB="0" distL="0" distR="0" wp14:anchorId="7E8DAE90" wp14:editId="312A82A8">
            <wp:extent cx="5986780" cy="75679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6780" cy="7567930"/>
                    </a:xfrm>
                    <a:prstGeom prst="rect">
                      <a:avLst/>
                    </a:prstGeom>
                    <a:noFill/>
                    <a:ln>
                      <a:noFill/>
                    </a:ln>
                  </pic:spPr>
                </pic:pic>
              </a:graphicData>
            </a:graphic>
          </wp:inline>
        </w:drawing>
      </w:r>
    </w:p>
    <w:p w14:paraId="07A80613" w14:textId="77777777" w:rsidR="00747B93" w:rsidRPr="00366DD2" w:rsidRDefault="00747B93" w:rsidP="00747B93">
      <w:pPr>
        <w:spacing w:after="0" w:line="240" w:lineRule="auto"/>
        <w:jc w:val="both"/>
        <w:rPr>
          <w:rFonts w:ascii="Arial" w:eastAsia="Arial" w:hAnsi="Arial" w:cs="Arial"/>
          <w:color w:val="808080"/>
          <w:sz w:val="18"/>
          <w:szCs w:val="18"/>
          <w:u w:color="808080"/>
        </w:rPr>
      </w:pPr>
    </w:p>
    <w:p w14:paraId="3B7A78BB" w14:textId="77777777" w:rsidR="00D15D87" w:rsidRDefault="00D15D87">
      <w:pPr>
        <w:spacing w:after="0" w:line="240" w:lineRule="auto"/>
        <w:rPr>
          <w:rFonts w:ascii="Times New Roman" w:eastAsia="Arial" w:hAnsi="Times New Roman" w:cs="Arial"/>
          <w:sz w:val="28"/>
          <w:szCs w:val="28"/>
        </w:rPr>
      </w:pPr>
      <w:r>
        <w:rPr>
          <w:rFonts w:ascii="Times New Roman" w:hAnsi="Times New Roman"/>
          <w:b/>
          <w:bCs/>
          <w:caps/>
          <w:sz w:val="28"/>
          <w:szCs w:val="28"/>
        </w:rPr>
        <w:br w:type="page"/>
      </w:r>
    </w:p>
    <w:p w14:paraId="53FDAB04" w14:textId="660DD392" w:rsidR="00747B93" w:rsidRPr="00762182" w:rsidRDefault="00747B93" w:rsidP="00747B93">
      <w:pPr>
        <w:pStyle w:val="ZX1CompanyName12"/>
        <w:spacing w:before="120"/>
        <w:jc w:val="center"/>
        <w:rPr>
          <w:rFonts w:ascii="Times New Roman" w:eastAsia="Times New Roman" w:hAnsi="Times New Roman" w:cs="Times New Roman"/>
          <w:b w:val="0"/>
          <w:bCs w:val="0"/>
          <w:caps w:val="0"/>
          <w:sz w:val="28"/>
          <w:szCs w:val="28"/>
        </w:rPr>
      </w:pPr>
      <w:r>
        <w:rPr>
          <w:rFonts w:ascii="Times New Roman" w:hAnsi="Times New Roman"/>
          <w:b w:val="0"/>
          <w:bCs w:val="0"/>
          <w:caps w:val="0"/>
          <w:sz w:val="28"/>
          <w:szCs w:val="28"/>
        </w:rPr>
        <w:lastRenderedPageBreak/>
        <w:t>Consolidated statement of profit or loss for the year ended 31 December 2023</w:t>
      </w:r>
    </w:p>
    <w:p w14:paraId="4596A76C" w14:textId="77777777" w:rsidR="00747B93" w:rsidRPr="00762182" w:rsidRDefault="00747B93" w:rsidP="00747B93">
      <w:pPr>
        <w:spacing w:after="0" w:line="240" w:lineRule="auto"/>
        <w:jc w:val="center"/>
        <w:rPr>
          <w:rFonts w:ascii="Times New Roman" w:eastAsia="Times New Roman" w:hAnsi="Times New Roman" w:cs="Times New Roman"/>
          <w:b/>
          <w:bCs/>
          <w:caps/>
          <w:sz w:val="16"/>
          <w:szCs w:val="16"/>
        </w:rPr>
      </w:pPr>
    </w:p>
    <w:p w14:paraId="3FA1B473" w14:textId="77777777" w:rsidR="00747B93" w:rsidRPr="00762182" w:rsidRDefault="00747B93" w:rsidP="00747B93">
      <w:pPr>
        <w:spacing w:after="0" w:line="240" w:lineRule="auto"/>
        <w:jc w:val="center"/>
        <w:rPr>
          <w:rFonts w:ascii="Times New Roman" w:eastAsia="Times New Roman" w:hAnsi="Times New Roman" w:cs="Times New Roman"/>
          <w:i/>
          <w:iCs/>
        </w:rPr>
      </w:pPr>
      <w:r>
        <w:rPr>
          <w:rFonts w:ascii="Times New Roman" w:hAnsi="Times New Roman"/>
          <w:i/>
          <w:iCs/>
        </w:rPr>
        <w:t>(All amounts are in thousands of Russian roubles unless specified otherwise)</w:t>
      </w:r>
    </w:p>
    <w:p w14:paraId="39946DEE" w14:textId="77777777" w:rsidR="00747B93" w:rsidRPr="00762182" w:rsidRDefault="00747B93" w:rsidP="00747B93">
      <w:pPr>
        <w:tabs>
          <w:tab w:val="left" w:pos="2127"/>
          <w:tab w:val="decimal" w:pos="6804"/>
          <w:tab w:val="decimal" w:pos="8788"/>
        </w:tabs>
        <w:spacing w:after="0" w:line="240" w:lineRule="auto"/>
        <w:jc w:val="center"/>
        <w:rPr>
          <w:rFonts w:ascii="Times New Roman" w:eastAsia="Times New Roman" w:hAnsi="Times New Roman" w:cs="Times New Roman"/>
        </w:rPr>
      </w:pPr>
    </w:p>
    <w:p w14:paraId="0E4A0840" w14:textId="77777777" w:rsidR="00747B93" w:rsidRPr="00762182" w:rsidRDefault="00747B93" w:rsidP="00747B93">
      <w:pPr>
        <w:tabs>
          <w:tab w:val="left" w:pos="2127"/>
          <w:tab w:val="decimal" w:pos="6804"/>
          <w:tab w:val="decimal" w:pos="8788"/>
        </w:tabs>
        <w:spacing w:after="0" w:line="240" w:lineRule="auto"/>
        <w:jc w:val="center"/>
        <w:rPr>
          <w:rFonts w:ascii="Times New Roman" w:eastAsia="Times New Roman" w:hAnsi="Times New Roman" w:cs="Times New Roman"/>
        </w:rPr>
      </w:pPr>
    </w:p>
    <w:p w14:paraId="492B28FC" w14:textId="055373BC" w:rsidR="00747B93" w:rsidRPr="00762182" w:rsidRDefault="009F06F5" w:rsidP="00747B93">
      <w:pPr>
        <w:spacing w:after="0" w:line="360" w:lineRule="auto"/>
        <w:ind w:left="220"/>
        <w:jc w:val="right"/>
        <w:rPr>
          <w:rFonts w:ascii="Times New Roman" w:eastAsia="Times New Roman" w:hAnsi="Times New Roman" w:cs="Times New Roman"/>
          <w:b/>
          <w:bCs/>
          <w:sz w:val="20"/>
          <w:szCs w:val="20"/>
        </w:rPr>
      </w:pPr>
      <w:r w:rsidRPr="009F06F5">
        <w:drawing>
          <wp:inline distT="0" distB="0" distL="0" distR="0" wp14:anchorId="5FDE3034" wp14:editId="383FDECF">
            <wp:extent cx="6120130" cy="51352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5135245"/>
                    </a:xfrm>
                    <a:prstGeom prst="rect">
                      <a:avLst/>
                    </a:prstGeom>
                    <a:noFill/>
                    <a:ln>
                      <a:noFill/>
                    </a:ln>
                  </pic:spPr>
                </pic:pic>
              </a:graphicData>
            </a:graphic>
          </wp:inline>
        </w:drawing>
      </w:r>
    </w:p>
    <w:p w14:paraId="17D02C0F" w14:textId="77777777" w:rsidR="00747B93" w:rsidRPr="00762182" w:rsidRDefault="00747B93" w:rsidP="00747B93">
      <w:pPr>
        <w:spacing w:after="0" w:line="240" w:lineRule="auto"/>
      </w:pPr>
      <w:r>
        <w:br w:type="page"/>
      </w:r>
    </w:p>
    <w:p w14:paraId="2836ED21" w14:textId="77777777" w:rsidR="00747B93" w:rsidRPr="00762182" w:rsidRDefault="00747B93" w:rsidP="00747B93">
      <w:pPr>
        <w:pStyle w:val="ZX1CompanyName12"/>
        <w:jc w:val="center"/>
        <w:rPr>
          <w:rFonts w:ascii="Times New Roman" w:eastAsia="Times New Roman" w:hAnsi="Times New Roman" w:cs="Times New Roman"/>
          <w:b w:val="0"/>
          <w:bCs w:val="0"/>
          <w:caps w:val="0"/>
          <w:sz w:val="28"/>
          <w:szCs w:val="28"/>
        </w:rPr>
      </w:pPr>
      <w:r>
        <w:rPr>
          <w:rFonts w:ascii="Times New Roman" w:hAnsi="Times New Roman"/>
          <w:b w:val="0"/>
          <w:bCs w:val="0"/>
          <w:caps w:val="0"/>
          <w:sz w:val="28"/>
          <w:szCs w:val="28"/>
        </w:rPr>
        <w:lastRenderedPageBreak/>
        <w:t xml:space="preserve">Consolidated statement of cash flows </w:t>
      </w:r>
    </w:p>
    <w:p w14:paraId="5E33CEDF" w14:textId="77777777" w:rsidR="00747B93" w:rsidRPr="00762182" w:rsidRDefault="00747B93" w:rsidP="00747B93">
      <w:pPr>
        <w:pStyle w:val="ZX1CompanyName12"/>
        <w:jc w:val="center"/>
        <w:rPr>
          <w:rFonts w:ascii="Times New Roman" w:eastAsia="Times New Roman" w:hAnsi="Times New Roman" w:cs="Times New Roman"/>
          <w:b w:val="0"/>
          <w:bCs w:val="0"/>
          <w:caps w:val="0"/>
          <w:sz w:val="28"/>
          <w:szCs w:val="28"/>
        </w:rPr>
      </w:pPr>
      <w:r>
        <w:rPr>
          <w:rFonts w:ascii="Times New Roman" w:hAnsi="Times New Roman"/>
          <w:b w:val="0"/>
          <w:bCs w:val="0"/>
          <w:caps w:val="0"/>
          <w:sz w:val="28"/>
          <w:szCs w:val="28"/>
        </w:rPr>
        <w:t>for the year ended 31 December 2023</w:t>
      </w:r>
    </w:p>
    <w:p w14:paraId="04943095" w14:textId="77777777" w:rsidR="00747B93" w:rsidRPr="00762182" w:rsidRDefault="00747B93" w:rsidP="00747B93">
      <w:pPr>
        <w:spacing w:after="0" w:line="240" w:lineRule="auto"/>
        <w:jc w:val="center"/>
        <w:rPr>
          <w:rFonts w:ascii="Times New Roman" w:eastAsia="Times New Roman" w:hAnsi="Times New Roman" w:cs="Times New Roman"/>
          <w:sz w:val="16"/>
          <w:szCs w:val="16"/>
        </w:rPr>
      </w:pPr>
    </w:p>
    <w:p w14:paraId="4418895D" w14:textId="77777777" w:rsidR="00747B93" w:rsidRPr="00762182" w:rsidRDefault="00747B93" w:rsidP="00747B93">
      <w:pPr>
        <w:spacing w:after="0" w:line="240" w:lineRule="auto"/>
        <w:jc w:val="center"/>
        <w:rPr>
          <w:rFonts w:ascii="Times New Roman" w:eastAsia="Times New Roman" w:hAnsi="Times New Roman" w:cs="Times New Roman"/>
          <w:i/>
          <w:iCs/>
        </w:rPr>
      </w:pPr>
      <w:r>
        <w:rPr>
          <w:rFonts w:ascii="Times New Roman" w:hAnsi="Times New Roman"/>
          <w:i/>
          <w:iCs/>
        </w:rPr>
        <w:t>(All amounts are in thousands of Russian roubles unless specified otherwise)</w:t>
      </w:r>
    </w:p>
    <w:p w14:paraId="7C5A8854" w14:textId="77777777" w:rsidR="00747B93" w:rsidRPr="00762182" w:rsidRDefault="00747B93" w:rsidP="00366DD2">
      <w:pPr>
        <w:spacing w:after="0" w:line="240" w:lineRule="auto"/>
        <w:ind w:right="-8"/>
        <w:jc w:val="center"/>
        <w:rPr>
          <w:rFonts w:ascii="Times New Roman" w:eastAsia="Times New Roman" w:hAnsi="Times New Roman" w:cs="Times New Roman"/>
        </w:rPr>
      </w:pPr>
    </w:p>
    <w:p w14:paraId="382CECA9" w14:textId="77777777" w:rsidR="00747B93" w:rsidRPr="00762182" w:rsidRDefault="00747B93" w:rsidP="00747B93">
      <w:pPr>
        <w:spacing w:after="0" w:line="240" w:lineRule="auto"/>
        <w:jc w:val="center"/>
        <w:rPr>
          <w:rFonts w:ascii="Times New Roman" w:eastAsia="Times New Roman" w:hAnsi="Times New Roman" w:cs="Times New Roman"/>
        </w:rPr>
      </w:pPr>
    </w:p>
    <w:p w14:paraId="2E7FE9D6" w14:textId="55920982" w:rsidR="00747B93" w:rsidRPr="00762182" w:rsidRDefault="00747B93" w:rsidP="00366DD2">
      <w:pPr>
        <w:spacing w:after="0" w:line="240" w:lineRule="auto"/>
        <w:ind w:left="426"/>
        <w:jc w:val="right"/>
        <w:rPr>
          <w:rFonts w:ascii="Arial" w:eastAsia="Arial" w:hAnsi="Arial" w:cs="Arial"/>
          <w:color w:val="808080"/>
          <w:sz w:val="18"/>
          <w:szCs w:val="18"/>
          <w:u w:color="808080"/>
        </w:rPr>
      </w:pPr>
    </w:p>
    <w:p w14:paraId="7C89CDF6" w14:textId="7AA4CD18" w:rsidR="00CA50BE" w:rsidRPr="00CA50BE" w:rsidRDefault="009F06F5" w:rsidP="00CA50BE">
      <w:pPr>
        <w:spacing w:after="0" w:line="240" w:lineRule="auto"/>
        <w:rPr>
          <w:lang w:val="en-US"/>
        </w:rPr>
      </w:pPr>
      <w:r w:rsidRPr="009F06F5">
        <w:drawing>
          <wp:inline distT="0" distB="0" distL="0" distR="0" wp14:anchorId="11F60167" wp14:editId="6EC79B7C">
            <wp:extent cx="5940425" cy="56527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5652770"/>
                    </a:xfrm>
                    <a:prstGeom prst="rect">
                      <a:avLst/>
                    </a:prstGeom>
                    <a:noFill/>
                    <a:ln>
                      <a:noFill/>
                    </a:ln>
                  </pic:spPr>
                </pic:pic>
              </a:graphicData>
            </a:graphic>
          </wp:inline>
        </w:drawing>
      </w:r>
      <w:r w:rsidR="00747B93">
        <w:br w:type="page"/>
      </w:r>
    </w:p>
    <w:p w14:paraId="696B481B" w14:textId="1CB8E730" w:rsidR="00747B93" w:rsidRPr="00762182" w:rsidRDefault="00747B93" w:rsidP="00747B93">
      <w:pPr>
        <w:pStyle w:val="ZX1CompanyName12"/>
        <w:jc w:val="center"/>
        <w:rPr>
          <w:rFonts w:ascii="Times New Roman" w:eastAsia="Times New Roman" w:hAnsi="Times New Roman" w:cs="Times New Roman"/>
          <w:b w:val="0"/>
          <w:bCs w:val="0"/>
          <w:caps w:val="0"/>
          <w:sz w:val="28"/>
          <w:szCs w:val="28"/>
        </w:rPr>
      </w:pPr>
      <w:r>
        <w:rPr>
          <w:rFonts w:ascii="Times New Roman" w:hAnsi="Times New Roman"/>
          <w:b w:val="0"/>
          <w:bCs w:val="0"/>
          <w:caps w:val="0"/>
          <w:sz w:val="28"/>
          <w:szCs w:val="28"/>
        </w:rPr>
        <w:lastRenderedPageBreak/>
        <w:t xml:space="preserve">Consolidated statement of cash flows </w:t>
      </w:r>
    </w:p>
    <w:p w14:paraId="53BA2B78" w14:textId="77777777" w:rsidR="00747B93" w:rsidRPr="00762182" w:rsidRDefault="00747B93" w:rsidP="00747B93">
      <w:pPr>
        <w:pStyle w:val="ZX1CompanyName12"/>
        <w:jc w:val="center"/>
        <w:rPr>
          <w:rFonts w:ascii="Times New Roman" w:eastAsia="Times New Roman" w:hAnsi="Times New Roman" w:cs="Times New Roman"/>
          <w:b w:val="0"/>
          <w:bCs w:val="0"/>
          <w:caps w:val="0"/>
          <w:sz w:val="28"/>
          <w:szCs w:val="28"/>
        </w:rPr>
      </w:pPr>
      <w:r>
        <w:rPr>
          <w:rFonts w:ascii="Times New Roman" w:hAnsi="Times New Roman"/>
          <w:b w:val="0"/>
          <w:bCs w:val="0"/>
          <w:caps w:val="0"/>
          <w:sz w:val="28"/>
          <w:szCs w:val="28"/>
        </w:rPr>
        <w:t>for the year ended 31 December 2023</w:t>
      </w:r>
    </w:p>
    <w:p w14:paraId="28227782" w14:textId="77777777" w:rsidR="00747B93" w:rsidRPr="00762182" w:rsidRDefault="00747B93" w:rsidP="00747B93">
      <w:pPr>
        <w:spacing w:after="0" w:line="240" w:lineRule="auto"/>
        <w:jc w:val="center"/>
        <w:rPr>
          <w:rFonts w:ascii="Times New Roman" w:eastAsia="Times New Roman" w:hAnsi="Times New Roman" w:cs="Times New Roman"/>
          <w:sz w:val="28"/>
          <w:szCs w:val="28"/>
        </w:rPr>
      </w:pPr>
    </w:p>
    <w:p w14:paraId="4D4F72B1" w14:textId="77777777" w:rsidR="00747B93" w:rsidRPr="00762182" w:rsidRDefault="00747B93" w:rsidP="00747B93">
      <w:pPr>
        <w:spacing w:after="0" w:line="240" w:lineRule="auto"/>
        <w:jc w:val="center"/>
        <w:rPr>
          <w:rFonts w:ascii="Times New Roman" w:eastAsia="Times New Roman" w:hAnsi="Times New Roman" w:cs="Times New Roman"/>
          <w:i/>
          <w:iCs/>
        </w:rPr>
      </w:pPr>
      <w:r>
        <w:rPr>
          <w:rFonts w:ascii="Times New Roman" w:hAnsi="Times New Roman"/>
          <w:i/>
          <w:iCs/>
        </w:rPr>
        <w:t>(All amounts are in thousands of Russian roubles unless specified otherwise)</w:t>
      </w:r>
    </w:p>
    <w:p w14:paraId="7BEFE08A" w14:textId="77777777" w:rsidR="00747B93" w:rsidRPr="00762182" w:rsidRDefault="00747B93" w:rsidP="00747B93">
      <w:pPr>
        <w:spacing w:after="0" w:line="240" w:lineRule="auto"/>
        <w:jc w:val="center"/>
        <w:rPr>
          <w:rFonts w:ascii="Times New Roman" w:eastAsia="Times New Roman" w:hAnsi="Times New Roman" w:cs="Times New Roman"/>
          <w:sz w:val="28"/>
          <w:szCs w:val="28"/>
        </w:rPr>
      </w:pPr>
    </w:p>
    <w:p w14:paraId="5D6B8EB0" w14:textId="4FFFAB93" w:rsidR="00415971" w:rsidRDefault="009F06F5" w:rsidP="00366DD2">
      <w:pPr>
        <w:spacing w:after="0" w:line="240" w:lineRule="auto"/>
        <w:ind w:left="426"/>
      </w:pPr>
      <w:r w:rsidRPr="009F06F5">
        <w:drawing>
          <wp:inline distT="0" distB="0" distL="0" distR="0" wp14:anchorId="553B9570" wp14:editId="6B30F3A3">
            <wp:extent cx="6120130" cy="35521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130" cy="3552190"/>
                    </a:xfrm>
                    <a:prstGeom prst="rect">
                      <a:avLst/>
                    </a:prstGeom>
                    <a:noFill/>
                    <a:ln>
                      <a:noFill/>
                    </a:ln>
                  </pic:spPr>
                </pic:pic>
              </a:graphicData>
            </a:graphic>
          </wp:inline>
        </w:drawing>
      </w:r>
    </w:p>
    <w:sectPr w:rsidR="00415971">
      <w:headerReference w:type="default" r:id="rId15"/>
      <w:footerReference w:type="default" r:id="rId16"/>
      <w:pgSz w:w="11900" w:h="16840"/>
      <w:pgMar w:top="851" w:right="851" w:bottom="567" w:left="1134"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09BDA" w14:textId="77777777" w:rsidR="000D12DC" w:rsidRDefault="000D12DC">
      <w:pPr>
        <w:spacing w:after="0" w:line="240" w:lineRule="auto"/>
      </w:pPr>
      <w:r>
        <w:separator/>
      </w:r>
    </w:p>
  </w:endnote>
  <w:endnote w:type="continuationSeparator" w:id="0">
    <w:p w14:paraId="0180160F" w14:textId="77777777" w:rsidR="000D12DC" w:rsidRDefault="000D1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Wingdings 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11B9" w14:textId="170E82BE" w:rsidR="00740B07" w:rsidRDefault="00740B07">
    <w:pPr>
      <w:pStyle w:val="a5"/>
      <w:jc w:val="right"/>
    </w:pPr>
    <w:r>
      <w:fldChar w:fldCharType="begin"/>
    </w:r>
    <w:r>
      <w:instrText xml:space="preserve"> PAGE </w:instrText>
    </w:r>
    <w:r>
      <w:fldChar w:fldCharType="separate"/>
    </w:r>
    <w:r w:rsidR="00D15D87">
      <w:rPr>
        <w:noProof/>
      </w:rPr>
      <w:t>9</w:t>
    </w:r>
    <w:r>
      <w:fldChar w:fldCharType="end"/>
    </w:r>
  </w:p>
  <w:p w14:paraId="2EB7C3CB" w14:textId="77777777" w:rsidR="00740B07" w:rsidRDefault="00740B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944BC" w14:textId="77777777" w:rsidR="000D12DC" w:rsidRDefault="000D12DC">
      <w:pPr>
        <w:spacing w:after="0" w:line="240" w:lineRule="auto"/>
      </w:pPr>
      <w:r>
        <w:separator/>
      </w:r>
    </w:p>
  </w:footnote>
  <w:footnote w:type="continuationSeparator" w:id="0">
    <w:p w14:paraId="739EDD6A" w14:textId="77777777" w:rsidR="000D12DC" w:rsidRDefault="000D1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1E40" w14:textId="77777777" w:rsidR="00740B07" w:rsidRDefault="00740B07">
    <w:pPr>
      <w:pStyle w:val="a4"/>
      <w:jc w:val="center"/>
    </w:pPr>
    <w:r>
      <w:rPr>
        <w:rFonts w:ascii="Arial" w:hAnsi="Arial"/>
        <w:b/>
        <w:bCs/>
        <w:color w:val="333333"/>
        <w:sz w:val="18"/>
        <w:szCs w:val="18"/>
        <w:u w:color="333333"/>
      </w:rPr>
      <w:t>NOT TO BE RELEASED IN THE UNITED STATES OF AMERICA, AUSTRALIA, CANADA, OR JAPAN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3485"/>
    <w:multiLevelType w:val="hybridMultilevel"/>
    <w:tmpl w:val="417CAF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85C5827"/>
    <w:multiLevelType w:val="hybridMultilevel"/>
    <w:tmpl w:val="5246A768"/>
    <w:numStyleLink w:val="1"/>
  </w:abstractNum>
  <w:abstractNum w:abstractNumId="2" w15:restartNumberingAfterBreak="0">
    <w:nsid w:val="190934D9"/>
    <w:multiLevelType w:val="hybridMultilevel"/>
    <w:tmpl w:val="5246A768"/>
    <w:styleLink w:val="1"/>
    <w:lvl w:ilvl="0" w:tplc="DEB6741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8099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98BF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50B46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EE23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249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4A77C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944DD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3E6CB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EF0BC2"/>
    <w:multiLevelType w:val="hybridMultilevel"/>
    <w:tmpl w:val="29840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FE2F0D"/>
    <w:multiLevelType w:val="hybridMultilevel"/>
    <w:tmpl w:val="8C620C4C"/>
    <w:styleLink w:val="2"/>
    <w:lvl w:ilvl="0" w:tplc="38E2C63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FCF61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3688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58B35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66B5E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68DE9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CE90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CAA1A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F8862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4441D28"/>
    <w:multiLevelType w:val="hybridMultilevel"/>
    <w:tmpl w:val="73AC0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F470B62"/>
    <w:multiLevelType w:val="hybridMultilevel"/>
    <w:tmpl w:val="DD1AC5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2A18F3"/>
    <w:multiLevelType w:val="hybridMultilevel"/>
    <w:tmpl w:val="30A4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DE30A35"/>
    <w:multiLevelType w:val="hybridMultilevel"/>
    <w:tmpl w:val="8C620C4C"/>
    <w:numStyleLink w:val="2"/>
  </w:abstractNum>
  <w:num w:numId="1">
    <w:abstractNumId w:val="2"/>
  </w:num>
  <w:num w:numId="2">
    <w:abstractNumId w:val="1"/>
  </w:num>
  <w:num w:numId="3">
    <w:abstractNumId w:val="4"/>
  </w:num>
  <w:num w:numId="4">
    <w:abstractNumId w:val="8"/>
  </w:num>
  <w:num w:numId="5">
    <w:abstractNumId w:val="0"/>
  </w:num>
  <w:num w:numId="6">
    <w:abstractNumId w:val="7"/>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971"/>
    <w:rsid w:val="000051A5"/>
    <w:rsid w:val="00013715"/>
    <w:rsid w:val="00013F0C"/>
    <w:rsid w:val="00020EF9"/>
    <w:rsid w:val="000211A6"/>
    <w:rsid w:val="000211C5"/>
    <w:rsid w:val="000342CC"/>
    <w:rsid w:val="00035659"/>
    <w:rsid w:val="00036C6B"/>
    <w:rsid w:val="00042FD2"/>
    <w:rsid w:val="000439AF"/>
    <w:rsid w:val="00045888"/>
    <w:rsid w:val="000504C0"/>
    <w:rsid w:val="00051255"/>
    <w:rsid w:val="000515B8"/>
    <w:rsid w:val="000673EF"/>
    <w:rsid w:val="0006744F"/>
    <w:rsid w:val="0007710D"/>
    <w:rsid w:val="00090CFE"/>
    <w:rsid w:val="00093B2F"/>
    <w:rsid w:val="00095A5C"/>
    <w:rsid w:val="000A3837"/>
    <w:rsid w:val="000B659F"/>
    <w:rsid w:val="000B6CDE"/>
    <w:rsid w:val="000C0026"/>
    <w:rsid w:val="000C08FD"/>
    <w:rsid w:val="000C2D6D"/>
    <w:rsid w:val="000C4DD6"/>
    <w:rsid w:val="000D12DC"/>
    <w:rsid w:val="000E203E"/>
    <w:rsid w:val="000E292C"/>
    <w:rsid w:val="000E3100"/>
    <w:rsid w:val="000E4E47"/>
    <w:rsid w:val="000E54BC"/>
    <w:rsid w:val="00103F0A"/>
    <w:rsid w:val="00115AB2"/>
    <w:rsid w:val="00121B0A"/>
    <w:rsid w:val="001258A4"/>
    <w:rsid w:val="00126087"/>
    <w:rsid w:val="00126339"/>
    <w:rsid w:val="00135D65"/>
    <w:rsid w:val="001506DA"/>
    <w:rsid w:val="00154D1F"/>
    <w:rsid w:val="001554AD"/>
    <w:rsid w:val="00162571"/>
    <w:rsid w:val="00187E7D"/>
    <w:rsid w:val="00194DEB"/>
    <w:rsid w:val="001970AA"/>
    <w:rsid w:val="001A681D"/>
    <w:rsid w:val="001B569E"/>
    <w:rsid w:val="001B70E2"/>
    <w:rsid w:val="001C369B"/>
    <w:rsid w:val="001C6312"/>
    <w:rsid w:val="001D1362"/>
    <w:rsid w:val="001D54A4"/>
    <w:rsid w:val="001D6A1E"/>
    <w:rsid w:val="001E446C"/>
    <w:rsid w:val="001E481F"/>
    <w:rsid w:val="001F6292"/>
    <w:rsid w:val="00201C44"/>
    <w:rsid w:val="00212F22"/>
    <w:rsid w:val="00217C38"/>
    <w:rsid w:val="00220B05"/>
    <w:rsid w:val="002216ED"/>
    <w:rsid w:val="00227AC6"/>
    <w:rsid w:val="00235441"/>
    <w:rsid w:val="00240222"/>
    <w:rsid w:val="0025144E"/>
    <w:rsid w:val="002541F6"/>
    <w:rsid w:val="00264468"/>
    <w:rsid w:val="00265382"/>
    <w:rsid w:val="00271263"/>
    <w:rsid w:val="0027590C"/>
    <w:rsid w:val="00276B10"/>
    <w:rsid w:val="002770DD"/>
    <w:rsid w:val="00281358"/>
    <w:rsid w:val="00281F5B"/>
    <w:rsid w:val="0029343B"/>
    <w:rsid w:val="0029564F"/>
    <w:rsid w:val="002A2860"/>
    <w:rsid w:val="002A6EA2"/>
    <w:rsid w:val="002B16D7"/>
    <w:rsid w:val="002B4025"/>
    <w:rsid w:val="002C43B8"/>
    <w:rsid w:val="002D17FE"/>
    <w:rsid w:val="002E18A2"/>
    <w:rsid w:val="002F139D"/>
    <w:rsid w:val="002F5B89"/>
    <w:rsid w:val="002F5C06"/>
    <w:rsid w:val="00303FED"/>
    <w:rsid w:val="003046E3"/>
    <w:rsid w:val="00304831"/>
    <w:rsid w:val="00306340"/>
    <w:rsid w:val="003117AA"/>
    <w:rsid w:val="00313A4E"/>
    <w:rsid w:val="0032177F"/>
    <w:rsid w:val="003245F1"/>
    <w:rsid w:val="00324F75"/>
    <w:rsid w:val="003306BF"/>
    <w:rsid w:val="00332626"/>
    <w:rsid w:val="00332AC1"/>
    <w:rsid w:val="003433E7"/>
    <w:rsid w:val="00345A58"/>
    <w:rsid w:val="003468C3"/>
    <w:rsid w:val="0035487C"/>
    <w:rsid w:val="00361CA1"/>
    <w:rsid w:val="00363F19"/>
    <w:rsid w:val="00366DD2"/>
    <w:rsid w:val="00367672"/>
    <w:rsid w:val="00380C2E"/>
    <w:rsid w:val="00382F03"/>
    <w:rsid w:val="003859B9"/>
    <w:rsid w:val="00386002"/>
    <w:rsid w:val="0038628D"/>
    <w:rsid w:val="00392DBD"/>
    <w:rsid w:val="00394CC1"/>
    <w:rsid w:val="00395F8A"/>
    <w:rsid w:val="003A5E77"/>
    <w:rsid w:val="003B1DDD"/>
    <w:rsid w:val="003B3AAD"/>
    <w:rsid w:val="003B68F2"/>
    <w:rsid w:val="003C1CDE"/>
    <w:rsid w:val="003C33E1"/>
    <w:rsid w:val="003D2340"/>
    <w:rsid w:val="003D3147"/>
    <w:rsid w:val="003E017F"/>
    <w:rsid w:val="003E1EF1"/>
    <w:rsid w:val="003E4440"/>
    <w:rsid w:val="003E5485"/>
    <w:rsid w:val="003E6E7A"/>
    <w:rsid w:val="00400289"/>
    <w:rsid w:val="004008F9"/>
    <w:rsid w:val="004018A6"/>
    <w:rsid w:val="004022E0"/>
    <w:rsid w:val="0040606B"/>
    <w:rsid w:val="00411834"/>
    <w:rsid w:val="0041199E"/>
    <w:rsid w:val="0041467C"/>
    <w:rsid w:val="00415971"/>
    <w:rsid w:val="0041705C"/>
    <w:rsid w:val="004274E7"/>
    <w:rsid w:val="00442681"/>
    <w:rsid w:val="00446FEE"/>
    <w:rsid w:val="0046077E"/>
    <w:rsid w:val="00463137"/>
    <w:rsid w:val="004643EF"/>
    <w:rsid w:val="0047214C"/>
    <w:rsid w:val="00473F1C"/>
    <w:rsid w:val="004772DF"/>
    <w:rsid w:val="00487FD7"/>
    <w:rsid w:val="0049098E"/>
    <w:rsid w:val="00493532"/>
    <w:rsid w:val="004936F2"/>
    <w:rsid w:val="00493B53"/>
    <w:rsid w:val="004A1486"/>
    <w:rsid w:val="004A2B91"/>
    <w:rsid w:val="004A6CED"/>
    <w:rsid w:val="004B3868"/>
    <w:rsid w:val="004B6F51"/>
    <w:rsid w:val="004C0B59"/>
    <w:rsid w:val="004C40B0"/>
    <w:rsid w:val="004C4392"/>
    <w:rsid w:val="004C6945"/>
    <w:rsid w:val="004D24C8"/>
    <w:rsid w:val="004D778F"/>
    <w:rsid w:val="004E21A6"/>
    <w:rsid w:val="004E4540"/>
    <w:rsid w:val="004F0857"/>
    <w:rsid w:val="005010FA"/>
    <w:rsid w:val="005074AE"/>
    <w:rsid w:val="005148D7"/>
    <w:rsid w:val="00517375"/>
    <w:rsid w:val="00526842"/>
    <w:rsid w:val="00530887"/>
    <w:rsid w:val="0053124E"/>
    <w:rsid w:val="005469D7"/>
    <w:rsid w:val="005504D5"/>
    <w:rsid w:val="005672D9"/>
    <w:rsid w:val="0057188B"/>
    <w:rsid w:val="00572A24"/>
    <w:rsid w:val="00573DD1"/>
    <w:rsid w:val="00577FE4"/>
    <w:rsid w:val="0058224F"/>
    <w:rsid w:val="005877E5"/>
    <w:rsid w:val="00587F82"/>
    <w:rsid w:val="005906ED"/>
    <w:rsid w:val="00590EB2"/>
    <w:rsid w:val="00592B0F"/>
    <w:rsid w:val="005939BC"/>
    <w:rsid w:val="005A030A"/>
    <w:rsid w:val="005B1811"/>
    <w:rsid w:val="005B3471"/>
    <w:rsid w:val="005C1B36"/>
    <w:rsid w:val="005C216C"/>
    <w:rsid w:val="005C3168"/>
    <w:rsid w:val="005D3004"/>
    <w:rsid w:val="005D38F0"/>
    <w:rsid w:val="005D3F9C"/>
    <w:rsid w:val="005D44B7"/>
    <w:rsid w:val="005D73DB"/>
    <w:rsid w:val="005E0890"/>
    <w:rsid w:val="005E2649"/>
    <w:rsid w:val="005F6E26"/>
    <w:rsid w:val="00600FE4"/>
    <w:rsid w:val="006036F0"/>
    <w:rsid w:val="0060625B"/>
    <w:rsid w:val="00615A4A"/>
    <w:rsid w:val="00623D64"/>
    <w:rsid w:val="00645841"/>
    <w:rsid w:val="00650E56"/>
    <w:rsid w:val="006541EA"/>
    <w:rsid w:val="00654FF8"/>
    <w:rsid w:val="00656701"/>
    <w:rsid w:val="006607A7"/>
    <w:rsid w:val="00667FD4"/>
    <w:rsid w:val="00673ADA"/>
    <w:rsid w:val="00674B14"/>
    <w:rsid w:val="00676E4C"/>
    <w:rsid w:val="00682227"/>
    <w:rsid w:val="00691D9A"/>
    <w:rsid w:val="006A316E"/>
    <w:rsid w:val="006A48FC"/>
    <w:rsid w:val="006A6F97"/>
    <w:rsid w:val="006B15E2"/>
    <w:rsid w:val="006B1D8F"/>
    <w:rsid w:val="006B4D75"/>
    <w:rsid w:val="006C3BAC"/>
    <w:rsid w:val="006C3FFB"/>
    <w:rsid w:val="006C42AB"/>
    <w:rsid w:val="006E7204"/>
    <w:rsid w:val="006F187B"/>
    <w:rsid w:val="006F7E60"/>
    <w:rsid w:val="00711E89"/>
    <w:rsid w:val="0071217F"/>
    <w:rsid w:val="007156C7"/>
    <w:rsid w:val="007300EC"/>
    <w:rsid w:val="00732424"/>
    <w:rsid w:val="00740B07"/>
    <w:rsid w:val="00740E1C"/>
    <w:rsid w:val="00741E1A"/>
    <w:rsid w:val="00742939"/>
    <w:rsid w:val="00747B93"/>
    <w:rsid w:val="007503FA"/>
    <w:rsid w:val="007574E2"/>
    <w:rsid w:val="00762182"/>
    <w:rsid w:val="0076641B"/>
    <w:rsid w:val="00766C62"/>
    <w:rsid w:val="0077018E"/>
    <w:rsid w:val="00773715"/>
    <w:rsid w:val="0079177F"/>
    <w:rsid w:val="00794F9C"/>
    <w:rsid w:val="00796A45"/>
    <w:rsid w:val="007A7523"/>
    <w:rsid w:val="007B0932"/>
    <w:rsid w:val="007B1A75"/>
    <w:rsid w:val="007C2B4B"/>
    <w:rsid w:val="007C500E"/>
    <w:rsid w:val="007D6D7B"/>
    <w:rsid w:val="007D6F14"/>
    <w:rsid w:val="007D7EF7"/>
    <w:rsid w:val="007E1DCB"/>
    <w:rsid w:val="007F1FCC"/>
    <w:rsid w:val="007F3EFC"/>
    <w:rsid w:val="007F7ADA"/>
    <w:rsid w:val="008015FC"/>
    <w:rsid w:val="00803110"/>
    <w:rsid w:val="008035FF"/>
    <w:rsid w:val="00804C61"/>
    <w:rsid w:val="0081326F"/>
    <w:rsid w:val="008132F1"/>
    <w:rsid w:val="0081404A"/>
    <w:rsid w:val="00816292"/>
    <w:rsid w:val="00833935"/>
    <w:rsid w:val="00835D6A"/>
    <w:rsid w:val="0083798E"/>
    <w:rsid w:val="00842460"/>
    <w:rsid w:val="00865993"/>
    <w:rsid w:val="00865DF5"/>
    <w:rsid w:val="00866690"/>
    <w:rsid w:val="0087372D"/>
    <w:rsid w:val="00881D9C"/>
    <w:rsid w:val="0088310A"/>
    <w:rsid w:val="0088326B"/>
    <w:rsid w:val="00883338"/>
    <w:rsid w:val="00883EC7"/>
    <w:rsid w:val="008868B1"/>
    <w:rsid w:val="00894CE3"/>
    <w:rsid w:val="008B371D"/>
    <w:rsid w:val="008C637D"/>
    <w:rsid w:val="008C753B"/>
    <w:rsid w:val="008D7E4A"/>
    <w:rsid w:val="008E43AA"/>
    <w:rsid w:val="008E6DD4"/>
    <w:rsid w:val="00900DB5"/>
    <w:rsid w:val="00904444"/>
    <w:rsid w:val="00907181"/>
    <w:rsid w:val="009200B3"/>
    <w:rsid w:val="00921B92"/>
    <w:rsid w:val="0092501A"/>
    <w:rsid w:val="0092659A"/>
    <w:rsid w:val="00930B5F"/>
    <w:rsid w:val="00944334"/>
    <w:rsid w:val="00947F17"/>
    <w:rsid w:val="00950251"/>
    <w:rsid w:val="009506B0"/>
    <w:rsid w:val="00955E28"/>
    <w:rsid w:val="0096300D"/>
    <w:rsid w:val="009827BA"/>
    <w:rsid w:val="00985229"/>
    <w:rsid w:val="00995838"/>
    <w:rsid w:val="009A262D"/>
    <w:rsid w:val="009A4C60"/>
    <w:rsid w:val="009A6701"/>
    <w:rsid w:val="009C01DE"/>
    <w:rsid w:val="009C1C7F"/>
    <w:rsid w:val="009C24B4"/>
    <w:rsid w:val="009D3709"/>
    <w:rsid w:val="009D4905"/>
    <w:rsid w:val="009E2AE5"/>
    <w:rsid w:val="009F06F5"/>
    <w:rsid w:val="009F523B"/>
    <w:rsid w:val="00A0305C"/>
    <w:rsid w:val="00A061F6"/>
    <w:rsid w:val="00A06775"/>
    <w:rsid w:val="00A1644D"/>
    <w:rsid w:val="00A174AF"/>
    <w:rsid w:val="00A20740"/>
    <w:rsid w:val="00A22A9A"/>
    <w:rsid w:val="00A22E89"/>
    <w:rsid w:val="00A24D57"/>
    <w:rsid w:val="00A27A24"/>
    <w:rsid w:val="00A27BEE"/>
    <w:rsid w:val="00A3240F"/>
    <w:rsid w:val="00A365D3"/>
    <w:rsid w:val="00A40ACB"/>
    <w:rsid w:val="00A41AE2"/>
    <w:rsid w:val="00A42AE9"/>
    <w:rsid w:val="00A44627"/>
    <w:rsid w:val="00A4733B"/>
    <w:rsid w:val="00A61FDB"/>
    <w:rsid w:val="00A643B4"/>
    <w:rsid w:val="00A64951"/>
    <w:rsid w:val="00A65B9B"/>
    <w:rsid w:val="00A67658"/>
    <w:rsid w:val="00A70913"/>
    <w:rsid w:val="00A728BE"/>
    <w:rsid w:val="00A73BF3"/>
    <w:rsid w:val="00A7639A"/>
    <w:rsid w:val="00A8780E"/>
    <w:rsid w:val="00A91C18"/>
    <w:rsid w:val="00A937F4"/>
    <w:rsid w:val="00AA59E6"/>
    <w:rsid w:val="00AA7C80"/>
    <w:rsid w:val="00AB2168"/>
    <w:rsid w:val="00AB3A94"/>
    <w:rsid w:val="00AC1D37"/>
    <w:rsid w:val="00AD0C80"/>
    <w:rsid w:val="00AD5B73"/>
    <w:rsid w:val="00AD6881"/>
    <w:rsid w:val="00AE5B3D"/>
    <w:rsid w:val="00AF2240"/>
    <w:rsid w:val="00AF573C"/>
    <w:rsid w:val="00B04033"/>
    <w:rsid w:val="00B04ED4"/>
    <w:rsid w:val="00B139A1"/>
    <w:rsid w:val="00B14171"/>
    <w:rsid w:val="00B2109E"/>
    <w:rsid w:val="00B25A3D"/>
    <w:rsid w:val="00B34896"/>
    <w:rsid w:val="00B35E34"/>
    <w:rsid w:val="00B43619"/>
    <w:rsid w:val="00B4434C"/>
    <w:rsid w:val="00B46F86"/>
    <w:rsid w:val="00B5095F"/>
    <w:rsid w:val="00B5615A"/>
    <w:rsid w:val="00B57226"/>
    <w:rsid w:val="00B65D20"/>
    <w:rsid w:val="00B72082"/>
    <w:rsid w:val="00B90D9F"/>
    <w:rsid w:val="00B95EF6"/>
    <w:rsid w:val="00B9780B"/>
    <w:rsid w:val="00BA10FA"/>
    <w:rsid w:val="00BA4554"/>
    <w:rsid w:val="00BC088C"/>
    <w:rsid w:val="00BD7B37"/>
    <w:rsid w:val="00BE7B79"/>
    <w:rsid w:val="00BE7CD9"/>
    <w:rsid w:val="00BF1FF3"/>
    <w:rsid w:val="00C03072"/>
    <w:rsid w:val="00C03273"/>
    <w:rsid w:val="00C07AFE"/>
    <w:rsid w:val="00C172F7"/>
    <w:rsid w:val="00C236AA"/>
    <w:rsid w:val="00C24409"/>
    <w:rsid w:val="00C27983"/>
    <w:rsid w:val="00C47256"/>
    <w:rsid w:val="00C51B90"/>
    <w:rsid w:val="00C52C8D"/>
    <w:rsid w:val="00C554E2"/>
    <w:rsid w:val="00C561CD"/>
    <w:rsid w:val="00C57384"/>
    <w:rsid w:val="00C61D28"/>
    <w:rsid w:val="00C644CA"/>
    <w:rsid w:val="00C704BD"/>
    <w:rsid w:val="00C74064"/>
    <w:rsid w:val="00C75131"/>
    <w:rsid w:val="00C76B0D"/>
    <w:rsid w:val="00C83172"/>
    <w:rsid w:val="00C850CB"/>
    <w:rsid w:val="00C92859"/>
    <w:rsid w:val="00C943C3"/>
    <w:rsid w:val="00CA0211"/>
    <w:rsid w:val="00CA50BE"/>
    <w:rsid w:val="00CB16E0"/>
    <w:rsid w:val="00CD26F8"/>
    <w:rsid w:val="00CE4511"/>
    <w:rsid w:val="00CE74FA"/>
    <w:rsid w:val="00CE7DB4"/>
    <w:rsid w:val="00CF57D8"/>
    <w:rsid w:val="00CF7743"/>
    <w:rsid w:val="00D05B78"/>
    <w:rsid w:val="00D12D44"/>
    <w:rsid w:val="00D15D87"/>
    <w:rsid w:val="00D174C8"/>
    <w:rsid w:val="00D321FD"/>
    <w:rsid w:val="00D47463"/>
    <w:rsid w:val="00D5054F"/>
    <w:rsid w:val="00D52876"/>
    <w:rsid w:val="00D54BB1"/>
    <w:rsid w:val="00D60869"/>
    <w:rsid w:val="00D658E2"/>
    <w:rsid w:val="00D7592C"/>
    <w:rsid w:val="00D81B41"/>
    <w:rsid w:val="00DB0CF3"/>
    <w:rsid w:val="00DB1536"/>
    <w:rsid w:val="00DB2760"/>
    <w:rsid w:val="00DB61DC"/>
    <w:rsid w:val="00DC2B0C"/>
    <w:rsid w:val="00DC3BD1"/>
    <w:rsid w:val="00DD1AE8"/>
    <w:rsid w:val="00DD224A"/>
    <w:rsid w:val="00DD790F"/>
    <w:rsid w:val="00DE1F33"/>
    <w:rsid w:val="00DE2D89"/>
    <w:rsid w:val="00DE4FBD"/>
    <w:rsid w:val="00DF0700"/>
    <w:rsid w:val="00DF38C7"/>
    <w:rsid w:val="00DF4687"/>
    <w:rsid w:val="00E07FDF"/>
    <w:rsid w:val="00E13EE7"/>
    <w:rsid w:val="00E15814"/>
    <w:rsid w:val="00E20852"/>
    <w:rsid w:val="00E25F17"/>
    <w:rsid w:val="00E27567"/>
    <w:rsid w:val="00E36AB9"/>
    <w:rsid w:val="00E46AFA"/>
    <w:rsid w:val="00E549F5"/>
    <w:rsid w:val="00E55045"/>
    <w:rsid w:val="00E579E4"/>
    <w:rsid w:val="00E610A5"/>
    <w:rsid w:val="00E758E5"/>
    <w:rsid w:val="00E77077"/>
    <w:rsid w:val="00E80EAB"/>
    <w:rsid w:val="00E842A2"/>
    <w:rsid w:val="00E85F25"/>
    <w:rsid w:val="00E912AE"/>
    <w:rsid w:val="00EA0C89"/>
    <w:rsid w:val="00EA2127"/>
    <w:rsid w:val="00EB4899"/>
    <w:rsid w:val="00EC19C5"/>
    <w:rsid w:val="00EC1B0C"/>
    <w:rsid w:val="00EC30BF"/>
    <w:rsid w:val="00EC72AA"/>
    <w:rsid w:val="00ED00C5"/>
    <w:rsid w:val="00ED020B"/>
    <w:rsid w:val="00ED6D44"/>
    <w:rsid w:val="00EE3BD5"/>
    <w:rsid w:val="00EF3B24"/>
    <w:rsid w:val="00EF3DEE"/>
    <w:rsid w:val="00EF5E0B"/>
    <w:rsid w:val="00F01EE6"/>
    <w:rsid w:val="00F058C6"/>
    <w:rsid w:val="00F07FF1"/>
    <w:rsid w:val="00F1617E"/>
    <w:rsid w:val="00F223ED"/>
    <w:rsid w:val="00F224B6"/>
    <w:rsid w:val="00F22B55"/>
    <w:rsid w:val="00F24C51"/>
    <w:rsid w:val="00F25413"/>
    <w:rsid w:val="00F26686"/>
    <w:rsid w:val="00F26F9F"/>
    <w:rsid w:val="00F27861"/>
    <w:rsid w:val="00F3443D"/>
    <w:rsid w:val="00F44556"/>
    <w:rsid w:val="00F446EF"/>
    <w:rsid w:val="00F500E7"/>
    <w:rsid w:val="00F53111"/>
    <w:rsid w:val="00F53E90"/>
    <w:rsid w:val="00F53F1D"/>
    <w:rsid w:val="00F564BF"/>
    <w:rsid w:val="00F5737C"/>
    <w:rsid w:val="00F70C62"/>
    <w:rsid w:val="00F70D42"/>
    <w:rsid w:val="00F742DF"/>
    <w:rsid w:val="00F77E0E"/>
    <w:rsid w:val="00F8190D"/>
    <w:rsid w:val="00F978AD"/>
    <w:rsid w:val="00FB080C"/>
    <w:rsid w:val="00FB2F94"/>
    <w:rsid w:val="00FC57BD"/>
    <w:rsid w:val="00FD02EC"/>
    <w:rsid w:val="00FD0B8D"/>
    <w:rsid w:val="00FD3465"/>
    <w:rsid w:val="00FD50B4"/>
    <w:rsid w:val="00FD5E8B"/>
    <w:rsid w:val="00FE7A07"/>
    <w:rsid w:val="00FF0C69"/>
    <w:rsid w:val="00FF2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FCF2"/>
  <w15:docId w15:val="{790DBDD3-4685-43A9-AAF3-039EC567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a4">
    <w:name w:val="header"/>
    <w:pPr>
      <w:tabs>
        <w:tab w:val="center" w:pos="4677"/>
        <w:tab w:val="right" w:pos="9355"/>
      </w:tabs>
      <w:spacing w:after="200" w:line="276" w:lineRule="auto"/>
    </w:pPr>
    <w:rPr>
      <w:rFonts w:ascii="Calibri" w:hAnsi="Calibri" w:cs="Arial Unicode MS"/>
      <w:color w:val="000000"/>
      <w:sz w:val="22"/>
      <w:szCs w:val="22"/>
      <w:u w:color="000000"/>
    </w:rPr>
  </w:style>
  <w:style w:type="paragraph" w:styleId="a5">
    <w:name w:val="footer"/>
    <w:pPr>
      <w:tabs>
        <w:tab w:val="center" w:pos="4677"/>
        <w:tab w:val="right" w:pos="9355"/>
      </w:tabs>
      <w:spacing w:after="200" w:line="276" w:lineRule="auto"/>
    </w:pPr>
    <w:rPr>
      <w:rFonts w:ascii="Calibri" w:eastAsia="Calibri" w:hAnsi="Calibri" w:cs="Calibri"/>
      <w:color w:val="000000"/>
      <w:sz w:val="22"/>
      <w:szCs w:val="22"/>
      <w:u w:color="000000"/>
    </w:rPr>
  </w:style>
  <w:style w:type="paragraph" w:styleId="a6">
    <w:name w:val="List Paragraph"/>
    <w:uiPriority w:val="34"/>
    <w:qFormat/>
    <w:pPr>
      <w:ind w:left="720"/>
      <w:jc w:val="both"/>
    </w:pPr>
    <w:rPr>
      <w:rFonts w:eastAsia="Times New Roman"/>
      <w:color w:val="000000"/>
      <w:sz w:val="22"/>
      <w:szCs w:val="22"/>
      <w:u w:color="000000"/>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 w:type="paragraph" w:styleId="a7">
    <w:name w:val="footnote text"/>
    <w:rPr>
      <w:rFonts w:ascii="Arial" w:eastAsia="Arial" w:hAnsi="Arial" w:cs="Arial"/>
      <w:color w:val="000000"/>
      <w:u w:color="000000"/>
    </w:rPr>
  </w:style>
  <w:style w:type="paragraph" w:customStyle="1" w:styleId="ZX1CompanyName12">
    <w:name w:val="ZX_1CompanyName_12"/>
    <w:rPr>
      <w:rFonts w:ascii="Arial" w:eastAsia="Arial" w:hAnsi="Arial" w:cs="Arial"/>
      <w:b/>
      <w:bCs/>
      <w:caps/>
      <w:color w:val="000000"/>
      <w:sz w:val="24"/>
      <w:szCs w:val="24"/>
      <w:u w:color="000000"/>
    </w:rPr>
  </w:style>
  <w:style w:type="character" w:styleId="a8">
    <w:name w:val="annotation reference"/>
    <w:basedOn w:val="a0"/>
    <w:uiPriority w:val="99"/>
    <w:semiHidden/>
    <w:unhideWhenUsed/>
    <w:rsid w:val="00A61FDB"/>
    <w:rPr>
      <w:sz w:val="16"/>
      <w:szCs w:val="16"/>
    </w:rPr>
  </w:style>
  <w:style w:type="paragraph" w:styleId="a9">
    <w:name w:val="annotation text"/>
    <w:basedOn w:val="a"/>
    <w:link w:val="aa"/>
    <w:uiPriority w:val="99"/>
    <w:unhideWhenUsed/>
    <w:rsid w:val="00A61FDB"/>
    <w:pPr>
      <w:spacing w:line="240" w:lineRule="auto"/>
    </w:pPr>
    <w:rPr>
      <w:sz w:val="20"/>
      <w:szCs w:val="20"/>
    </w:rPr>
  </w:style>
  <w:style w:type="character" w:customStyle="1" w:styleId="aa">
    <w:name w:val="Текст примечания Знак"/>
    <w:basedOn w:val="a0"/>
    <w:link w:val="a9"/>
    <w:uiPriority w:val="99"/>
    <w:rsid w:val="00A61FDB"/>
    <w:rPr>
      <w:rFonts w:ascii="Calibri" w:eastAsia="Calibri" w:hAnsi="Calibri" w:cs="Calibri"/>
      <w:color w:val="000000"/>
      <w:u w:color="000000"/>
    </w:rPr>
  </w:style>
  <w:style w:type="paragraph" w:styleId="ab">
    <w:name w:val="annotation subject"/>
    <w:basedOn w:val="a9"/>
    <w:next w:val="a9"/>
    <w:link w:val="ac"/>
    <w:uiPriority w:val="99"/>
    <w:semiHidden/>
    <w:unhideWhenUsed/>
    <w:rsid w:val="00A61FDB"/>
    <w:rPr>
      <w:b/>
      <w:bCs/>
    </w:rPr>
  </w:style>
  <w:style w:type="character" w:customStyle="1" w:styleId="ac">
    <w:name w:val="Тема примечания Знак"/>
    <w:basedOn w:val="aa"/>
    <w:link w:val="ab"/>
    <w:uiPriority w:val="99"/>
    <w:semiHidden/>
    <w:rsid w:val="00A61FDB"/>
    <w:rPr>
      <w:rFonts w:ascii="Calibri" w:eastAsia="Calibri" w:hAnsi="Calibri" w:cs="Calibri"/>
      <w:b/>
      <w:bCs/>
      <w:color w:val="000000"/>
      <w:u w:color="000000"/>
    </w:rPr>
  </w:style>
  <w:style w:type="paragraph" w:styleId="ad">
    <w:name w:val="Revision"/>
    <w:hidden/>
    <w:uiPriority w:val="99"/>
    <w:semiHidden/>
    <w:rsid w:val="001D54A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paragraph" w:styleId="ae">
    <w:name w:val="Balloon Text"/>
    <w:basedOn w:val="a"/>
    <w:link w:val="af"/>
    <w:uiPriority w:val="99"/>
    <w:semiHidden/>
    <w:unhideWhenUsed/>
    <w:rsid w:val="000E54B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E54BC"/>
    <w:rPr>
      <w:rFonts w:ascii="Tahoma" w:eastAsia="Calibri" w:hAnsi="Tahoma" w:cs="Tahoma"/>
      <w:color w:val="000000"/>
      <w:sz w:val="16"/>
      <w:szCs w:val="16"/>
      <w:u w:color="000000"/>
    </w:rPr>
  </w:style>
  <w:style w:type="paragraph" w:customStyle="1" w:styleId="Default">
    <w:name w:val="Default"/>
    <w:rsid w:val="00DB0CF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 w:type="paragraph" w:customStyle="1" w:styleId="body">
    <w:name w:val="body"/>
    <w:basedOn w:val="a"/>
    <w:rsid w:val="00EC30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10">
    <w:name w:val="Неразрешенное упоминание1"/>
    <w:basedOn w:val="a0"/>
    <w:uiPriority w:val="99"/>
    <w:semiHidden/>
    <w:unhideWhenUsed/>
    <w:rsid w:val="00741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20343">
      <w:bodyDiv w:val="1"/>
      <w:marLeft w:val="0"/>
      <w:marRight w:val="0"/>
      <w:marTop w:val="0"/>
      <w:marBottom w:val="0"/>
      <w:divBdr>
        <w:top w:val="none" w:sz="0" w:space="0" w:color="auto"/>
        <w:left w:val="none" w:sz="0" w:space="0" w:color="auto"/>
        <w:bottom w:val="none" w:sz="0" w:space="0" w:color="auto"/>
        <w:right w:val="none" w:sz="0" w:space="0" w:color="auto"/>
      </w:divBdr>
    </w:div>
    <w:div w:id="721900422">
      <w:bodyDiv w:val="1"/>
      <w:marLeft w:val="0"/>
      <w:marRight w:val="0"/>
      <w:marTop w:val="0"/>
      <w:marBottom w:val="0"/>
      <w:divBdr>
        <w:top w:val="none" w:sz="0" w:space="0" w:color="auto"/>
        <w:left w:val="none" w:sz="0" w:space="0" w:color="auto"/>
        <w:bottom w:val="none" w:sz="0" w:space="0" w:color="auto"/>
        <w:right w:val="none" w:sz="0" w:space="0" w:color="auto"/>
      </w:divBdr>
    </w:div>
    <w:div w:id="1685014255">
      <w:bodyDiv w:val="1"/>
      <w:marLeft w:val="0"/>
      <w:marRight w:val="0"/>
      <w:marTop w:val="0"/>
      <w:marBottom w:val="0"/>
      <w:divBdr>
        <w:top w:val="none" w:sz="0" w:space="0" w:color="auto"/>
        <w:left w:val="none" w:sz="0" w:space="0" w:color="auto"/>
        <w:bottom w:val="none" w:sz="0" w:space="0" w:color="auto"/>
        <w:right w:val="none" w:sz="0" w:space="0" w:color="auto"/>
      </w:divBdr>
    </w:div>
    <w:div w:id="1772318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R@rosinter.ru"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2452F-9CA1-4CE7-B685-D0A1A524D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1966</Words>
  <Characters>11212</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Chirkova Olga</dc:creator>
  <cp:lastModifiedBy>Ивановский Артем Андреевич</cp:lastModifiedBy>
  <cp:revision>11</cp:revision>
  <cp:lastPrinted>2024-05-17T10:06:00Z</cp:lastPrinted>
  <dcterms:created xsi:type="dcterms:W3CDTF">2024-05-17T10:06:00Z</dcterms:created>
  <dcterms:modified xsi:type="dcterms:W3CDTF">2024-09-19T15:11:00Z</dcterms:modified>
</cp:coreProperties>
</file>