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8E16" w14:textId="77777777" w:rsidR="00415971" w:rsidRPr="00762182" w:rsidRDefault="008E6DD4">
      <w:pPr>
        <w:jc w:val="both"/>
        <w:rPr>
          <w:rFonts w:ascii="Arial" w:eastAsia="Arial" w:hAnsi="Arial" w:cs="Arial"/>
          <w:sz w:val="16"/>
          <w:szCs w:val="16"/>
        </w:rPr>
      </w:pPr>
      <w:r>
        <w:rPr>
          <w:rFonts w:ascii="Arial" w:hAnsi="Arial"/>
          <w:noProof/>
          <w:sz w:val="16"/>
          <w:szCs w:val="16"/>
          <w:lang w:val="ru-RU"/>
        </w:rPr>
        <w:drawing>
          <wp:anchor distT="57150" distB="57150" distL="57150" distR="57150" simplePos="0" relativeHeight="251659264" behindDoc="0" locked="0" layoutInCell="1" allowOverlap="1" wp14:anchorId="3EF7C493" wp14:editId="423D1158">
            <wp:simplePos x="0" y="0"/>
            <wp:positionH relativeFrom="column">
              <wp:posOffset>2586354</wp:posOffset>
            </wp:positionH>
            <wp:positionV relativeFrom="line">
              <wp:posOffset>-92075</wp:posOffset>
            </wp:positionV>
            <wp:extent cx="1143000" cy="833756"/>
            <wp:effectExtent l="0" t="0" r="0" b="0"/>
            <wp:wrapSquare wrapText="bothSides" distT="57150" distB="57150" distL="57150" distR="57150"/>
            <wp:docPr id="1073741825" name="officeArt object" descr="Picture 7"/>
            <wp:cNvGraphicFramePr/>
            <a:graphic xmlns:a="http://schemas.openxmlformats.org/drawingml/2006/main">
              <a:graphicData uri="http://schemas.openxmlformats.org/drawingml/2006/picture">
                <pic:pic xmlns:pic="http://schemas.openxmlformats.org/drawingml/2006/picture">
                  <pic:nvPicPr>
                    <pic:cNvPr id="1073741825" name="Picture 7" descr="Picture 7"/>
                    <pic:cNvPicPr>
                      <a:picLocks noChangeAspect="1"/>
                    </pic:cNvPicPr>
                  </pic:nvPicPr>
                  <pic:blipFill>
                    <a:blip r:embed="rId8"/>
                    <a:stretch>
                      <a:fillRect/>
                    </a:stretch>
                  </pic:blipFill>
                  <pic:spPr>
                    <a:xfrm>
                      <a:off x="0" y="0"/>
                      <a:ext cx="1143000" cy="833756"/>
                    </a:xfrm>
                    <a:prstGeom prst="rect">
                      <a:avLst/>
                    </a:prstGeom>
                    <a:ln w="12700" cap="flat">
                      <a:noFill/>
                      <a:miter lim="400000"/>
                    </a:ln>
                    <a:effectLst/>
                  </pic:spPr>
                </pic:pic>
              </a:graphicData>
            </a:graphic>
          </wp:anchor>
        </w:drawing>
      </w:r>
    </w:p>
    <w:p w14:paraId="5A0198FD" w14:textId="77777777" w:rsidR="00415971" w:rsidRPr="00762182" w:rsidRDefault="00415971">
      <w:pPr>
        <w:jc w:val="both"/>
        <w:rPr>
          <w:rFonts w:ascii="Arial" w:eastAsia="Arial" w:hAnsi="Arial" w:cs="Arial"/>
          <w:sz w:val="18"/>
          <w:szCs w:val="18"/>
        </w:rPr>
      </w:pPr>
    </w:p>
    <w:p w14:paraId="0A570831" w14:textId="77777777" w:rsidR="00415971" w:rsidRPr="00762182" w:rsidRDefault="00415971">
      <w:pPr>
        <w:jc w:val="both"/>
        <w:rPr>
          <w:rFonts w:ascii="Arial" w:eastAsia="Arial" w:hAnsi="Arial" w:cs="Arial"/>
          <w:sz w:val="18"/>
          <w:szCs w:val="18"/>
        </w:rPr>
      </w:pPr>
    </w:p>
    <w:p w14:paraId="47E1F0F4" w14:textId="77777777" w:rsidR="00415971" w:rsidRPr="004E0B02" w:rsidRDefault="00415971">
      <w:pPr>
        <w:jc w:val="both"/>
        <w:rPr>
          <w:rFonts w:ascii="Arial" w:eastAsia="Arial" w:hAnsi="Arial" w:cs="Arial"/>
          <w:sz w:val="16"/>
          <w:szCs w:val="16"/>
          <w:lang w:val="en-US"/>
        </w:rPr>
      </w:pPr>
    </w:p>
    <w:p w14:paraId="41E5A079" w14:textId="77777777" w:rsidR="00415971" w:rsidRDefault="008E6DD4">
      <w:pPr>
        <w:jc w:val="center"/>
        <w:rPr>
          <w:rFonts w:ascii="Arial" w:hAnsi="Arial"/>
          <w:b/>
          <w:bCs/>
          <w:u w:val="single"/>
        </w:rPr>
      </w:pPr>
      <w:r>
        <w:rPr>
          <w:rFonts w:ascii="Arial" w:hAnsi="Arial"/>
          <w:b/>
          <w:bCs/>
          <w:u w:val="single"/>
        </w:rPr>
        <w:t>PRESS RELEASE</w:t>
      </w:r>
    </w:p>
    <w:p w14:paraId="214A2803" w14:textId="1990C268" w:rsidR="00950251" w:rsidRDefault="000173B1" w:rsidP="00950251">
      <w:pPr>
        <w:jc w:val="center"/>
        <w:rPr>
          <w:rFonts w:ascii="Arial" w:hAnsi="Arial"/>
          <w:b/>
          <w:bCs/>
        </w:rPr>
      </w:pPr>
      <w:r>
        <w:rPr>
          <w:rFonts w:ascii="Arial" w:hAnsi="Arial"/>
          <w:b/>
          <w:bCs/>
        </w:rPr>
        <w:t xml:space="preserve">ROSINTER ANNOUNCES 13.6% INCREASE IN REVENUES AND 14.2% EBITDA GROWTH BY THE END OF THE 1ST HALF OF 2024 </w:t>
      </w:r>
    </w:p>
    <w:p w14:paraId="34EDBDB4" w14:textId="77777777" w:rsidR="00415971" w:rsidRPr="00530887" w:rsidRDefault="00415971">
      <w:pPr>
        <w:spacing w:after="0"/>
        <w:jc w:val="both"/>
        <w:rPr>
          <w:rFonts w:ascii="Arial" w:eastAsia="Arial" w:hAnsi="Arial" w:cs="Arial"/>
          <w:b/>
          <w:bCs/>
          <w:sz w:val="12"/>
          <w:szCs w:val="12"/>
        </w:rPr>
      </w:pPr>
    </w:p>
    <w:p w14:paraId="1F93683A" w14:textId="69C8114E" w:rsidR="00415971" w:rsidRPr="0026451B" w:rsidRDefault="008E6DD4">
      <w:pPr>
        <w:spacing w:after="0"/>
        <w:jc w:val="both"/>
        <w:rPr>
          <w:rFonts w:ascii="Arial" w:hAnsi="Arial"/>
          <w:sz w:val="20"/>
          <w:szCs w:val="20"/>
        </w:rPr>
      </w:pPr>
      <w:r>
        <w:rPr>
          <w:rFonts w:ascii="Arial" w:hAnsi="Arial"/>
          <w:b/>
          <w:bCs/>
          <w:sz w:val="20"/>
          <w:szCs w:val="20"/>
        </w:rPr>
        <w:t>Moscow, 29</w:t>
      </w:r>
      <w:r w:rsidR="004E6AAF" w:rsidRPr="004E6AAF">
        <w:rPr>
          <w:rFonts w:ascii="Arial" w:hAnsi="Arial"/>
          <w:b/>
          <w:bCs/>
          <w:sz w:val="20"/>
          <w:szCs w:val="20"/>
          <w:vertAlign w:val="superscript"/>
        </w:rPr>
        <w:t>th</w:t>
      </w:r>
      <w:r>
        <w:rPr>
          <w:rFonts w:ascii="Arial" w:hAnsi="Arial"/>
          <w:b/>
          <w:bCs/>
          <w:sz w:val="20"/>
          <w:szCs w:val="20"/>
        </w:rPr>
        <w:t xml:space="preserve"> </w:t>
      </w:r>
      <w:r w:rsidR="004E6AAF">
        <w:rPr>
          <w:rFonts w:ascii="Arial" w:hAnsi="Arial"/>
          <w:b/>
          <w:bCs/>
          <w:sz w:val="20"/>
          <w:szCs w:val="20"/>
          <w:lang w:val="en-US"/>
        </w:rPr>
        <w:t xml:space="preserve">of </w:t>
      </w:r>
      <w:r>
        <w:rPr>
          <w:rFonts w:ascii="Arial" w:hAnsi="Arial"/>
          <w:b/>
          <w:bCs/>
          <w:sz w:val="20"/>
          <w:szCs w:val="20"/>
        </w:rPr>
        <w:t>August 2024:</w:t>
      </w:r>
      <w:r>
        <w:rPr>
          <w:rFonts w:ascii="Arial" w:hAnsi="Arial"/>
          <w:sz w:val="20"/>
          <w:szCs w:val="20"/>
        </w:rPr>
        <w:t xml:space="preserve"> Rosinter Restaurants Holding PJSC (Rosinter, Rosinter Restaurants, the Company), one of the largest restaurants holding companies in Russia (Moscow Exchange MICEX-RTS: stock ticker ROST) announces its operating and financial results for the 1st half of 2024 in accordance with the international financial reporting standards. </w:t>
      </w:r>
    </w:p>
    <w:p w14:paraId="751237A2" w14:textId="77777777" w:rsidR="0041467C" w:rsidRDefault="0041467C">
      <w:pPr>
        <w:spacing w:after="0"/>
        <w:jc w:val="both"/>
        <w:rPr>
          <w:rFonts w:ascii="Arial" w:hAnsi="Arial"/>
          <w:strike/>
          <w:sz w:val="20"/>
          <w:szCs w:val="20"/>
        </w:rPr>
      </w:pPr>
      <w:r>
        <w:rPr>
          <w:rFonts w:ascii="Arial" w:hAnsi="Arial"/>
          <w:noProof/>
          <w:sz w:val="20"/>
          <w:szCs w:val="20"/>
          <w:lang w:val="ru-RU"/>
        </w:rPr>
        <mc:AlternateContent>
          <mc:Choice Requires="wps">
            <w:drawing>
              <wp:anchor distT="0" distB="0" distL="114300" distR="114300" simplePos="0" relativeHeight="251657728" behindDoc="0" locked="0" layoutInCell="1" allowOverlap="1" wp14:anchorId="3BCF43EC" wp14:editId="196D7E3E">
                <wp:simplePos x="0" y="0"/>
                <wp:positionH relativeFrom="margin">
                  <wp:posOffset>26670</wp:posOffset>
                </wp:positionH>
                <wp:positionV relativeFrom="paragraph">
                  <wp:posOffset>128270</wp:posOffset>
                </wp:positionV>
                <wp:extent cx="6286500" cy="1676400"/>
                <wp:effectExtent l="0" t="0" r="19050" b="19050"/>
                <wp:wrapNone/>
                <wp:docPr id="826453989" name="Прямоугольник: скругленные углы 2"/>
                <wp:cNvGraphicFramePr/>
                <a:graphic xmlns:a="http://schemas.openxmlformats.org/drawingml/2006/main">
                  <a:graphicData uri="http://schemas.microsoft.com/office/word/2010/wordprocessingShape">
                    <wps:wsp>
                      <wps:cNvSpPr/>
                      <wps:spPr>
                        <a:xfrm>
                          <a:off x="0" y="0"/>
                          <a:ext cx="6286500" cy="1676400"/>
                        </a:xfrm>
                        <a:prstGeom prst="roundRect">
                          <a:avLst>
                            <a:gd name="adj" fmla="val 12153"/>
                          </a:avLst>
                        </a:prstGeom>
                        <a:solidFill>
                          <a:srgbClr val="FFFFFF"/>
                        </a:solidFill>
                        <a:ln w="25400" cap="flat">
                          <a:solidFill>
                            <a:schemeClr val="accent6"/>
                          </a:solidFill>
                          <a:prstDash val="solid"/>
                          <a:round/>
                        </a:ln>
                        <a:effectLst/>
                        <a:sp3d/>
                      </wps:spPr>
                      <wps:style>
                        <a:lnRef idx="0">
                          <a:scrgbClr r="0" g="0" b="0"/>
                        </a:lnRef>
                        <a:fillRef idx="0">
                          <a:scrgbClr r="0" g="0" b="0"/>
                        </a:fillRef>
                        <a:effectRef idx="0">
                          <a:scrgbClr r="0" g="0" b="0"/>
                        </a:effectRef>
                        <a:fontRef idx="none"/>
                      </wps:style>
                      <wps:txbx>
                        <w:txbxContent>
                          <w:p w14:paraId="68BED244" w14:textId="7F381375" w:rsidR="006333AD" w:rsidRPr="0029343B" w:rsidRDefault="006333AD"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This press release presents notes to financial statements before the application of IFRS</w:t>
                            </w:r>
                            <w:r w:rsidR="004E6AAF" w:rsidRPr="004E6AAF">
                              <w:rPr>
                                <w:rFonts w:ascii="Arial" w:hAnsi="Arial"/>
                                <w:b/>
                                <w:bCs/>
                                <w:color w:val="E36C0A" w:themeColor="accent6" w:themeShade="BF"/>
                                <w:sz w:val="20"/>
                                <w:szCs w:val="20"/>
                                <w:lang w:val="en-US"/>
                              </w:rPr>
                              <w:t> </w:t>
                            </w:r>
                            <w:r>
                              <w:rPr>
                                <w:rFonts w:ascii="Arial" w:hAnsi="Arial"/>
                                <w:b/>
                                <w:bCs/>
                                <w:color w:val="E36C0A" w:themeColor="accent6" w:themeShade="BF"/>
                                <w:sz w:val="20"/>
                                <w:szCs w:val="20"/>
                              </w:rPr>
                              <w:t>16</w:t>
                            </w:r>
                            <w:r w:rsidR="004E6AAF" w:rsidRPr="004E6AAF">
                              <w:rPr>
                                <w:rFonts w:ascii="Arial" w:hAnsi="Arial"/>
                                <w:b/>
                                <w:bCs/>
                                <w:color w:val="E36C0A" w:themeColor="accent6" w:themeShade="BF"/>
                                <w:sz w:val="20"/>
                                <w:szCs w:val="20"/>
                                <w:lang w:val="en-US"/>
                              </w:rPr>
                              <w:t> </w:t>
                            </w:r>
                            <w:r>
                              <w:rPr>
                                <w:rFonts w:ascii="Arial" w:hAnsi="Arial"/>
                                <w:b/>
                                <w:bCs/>
                                <w:color w:val="E36C0A" w:themeColor="accent6" w:themeShade="BF"/>
                                <w:sz w:val="20"/>
                                <w:szCs w:val="20"/>
                              </w:rPr>
                              <w:t xml:space="preserve">“Leases” as, in the Company's opinion, in this way the Holding Company’s financial situation is represented most accurately. Furthermore, in this press release the Holding Company presents non-IFRS financial measures that should be regarded as supplementary to those disclosed in the financial statements. </w:t>
                            </w:r>
                          </w:p>
                          <w:p w14:paraId="7B9577FB" w14:textId="77777777" w:rsidR="006333AD" w:rsidRPr="0029343B" w:rsidRDefault="006333AD"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Consolidated statements of financial position, of profit and loss, and of cash flows, presented in the exhibit to this press release, have been prepared subject to the requirements of IFRS 16 “Leases”.</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F43EC" id="Прямоугольник: скругленные углы 2" o:spid="_x0000_s1026" style="position:absolute;left:0;text-align:left;margin-left:2.1pt;margin-top:10.1pt;width:495pt;height:13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" strokecolor="#f79646 [3209]" strokeweight="2pt">
                <v:textbox inset="1.27mm,1.27mm,1.27mm,1.27mm">
                  <w:txbxContent>
                    <w:p w14:paraId="68BED244" w14:textId="7F381375" w:rsidR="006333AD" w:rsidRPr="0029343B" w:rsidRDefault="006333AD"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This press release presents notes to financial statements before the application of IFRS</w:t>
                      </w:r>
                      <w:r w:rsidR="004E6AAF" w:rsidRPr="004E6AAF">
                        <w:rPr>
                          <w:rFonts w:ascii="Arial" w:hAnsi="Arial"/>
                          <w:b/>
                          <w:bCs/>
                          <w:color w:val="E36C0A" w:themeColor="accent6" w:themeShade="BF"/>
                          <w:sz w:val="20"/>
                          <w:szCs w:val="20"/>
                          <w:lang w:val="en-US"/>
                        </w:rPr>
                        <w:t> </w:t>
                      </w:r>
                      <w:r>
                        <w:rPr>
                          <w:rFonts w:ascii="Arial" w:hAnsi="Arial"/>
                          <w:b/>
                          <w:bCs/>
                          <w:color w:val="E36C0A" w:themeColor="accent6" w:themeShade="BF"/>
                          <w:sz w:val="20"/>
                          <w:szCs w:val="20"/>
                        </w:rPr>
                        <w:t>16</w:t>
                      </w:r>
                      <w:r w:rsidR="004E6AAF" w:rsidRPr="004E6AAF">
                        <w:rPr>
                          <w:rFonts w:ascii="Arial" w:hAnsi="Arial"/>
                          <w:b/>
                          <w:bCs/>
                          <w:color w:val="E36C0A" w:themeColor="accent6" w:themeShade="BF"/>
                          <w:sz w:val="20"/>
                          <w:szCs w:val="20"/>
                          <w:lang w:val="en-US"/>
                        </w:rPr>
                        <w:t> </w:t>
                      </w:r>
                      <w:r>
                        <w:rPr>
                          <w:rFonts w:ascii="Arial" w:hAnsi="Arial"/>
                          <w:b/>
                          <w:bCs/>
                          <w:color w:val="E36C0A" w:themeColor="accent6" w:themeShade="BF"/>
                          <w:sz w:val="20"/>
                          <w:szCs w:val="20"/>
                        </w:rPr>
                        <w:t xml:space="preserve">“Leases” as, in the Company's opinion, in this way the Holding Company’s financial situation is represented most accurately. Furthermore, in this press release the Holding Company presents non-IFRS financial measures that should be regarded as supplementary to those disclosed in the financial statements. </w:t>
                      </w:r>
                    </w:p>
                    <w:p w14:paraId="7B9577FB" w14:textId="77777777" w:rsidR="006333AD" w:rsidRPr="0029343B" w:rsidRDefault="006333AD" w:rsidP="00B43619">
                      <w:pPr>
                        <w:jc w:val="both"/>
                        <w:rPr>
                          <w:rFonts w:ascii="Arial" w:hAnsi="Arial" w:cs="Arial"/>
                          <w:b/>
                          <w:bCs/>
                          <w:color w:val="E36C0A" w:themeColor="accent6" w:themeShade="BF"/>
                          <w:sz w:val="20"/>
                          <w:szCs w:val="20"/>
                        </w:rPr>
                      </w:pPr>
                      <w:r>
                        <w:rPr>
                          <w:rFonts w:ascii="Arial" w:hAnsi="Arial"/>
                          <w:b/>
                          <w:bCs/>
                          <w:color w:val="E36C0A" w:themeColor="accent6" w:themeShade="BF"/>
                          <w:sz w:val="20"/>
                          <w:szCs w:val="20"/>
                        </w:rPr>
                        <w:t>Consolidated statements of financial position, of profit and loss, and of cash flows, presented in the exhibit to this press release, have been prepared subject to the requirements of IFRS 16 “Leases”.</w:t>
                      </w:r>
                    </w:p>
                  </w:txbxContent>
                </v:textbox>
                <w10:wrap anchorx="margin"/>
              </v:roundrect>
            </w:pict>
          </mc:Fallback>
        </mc:AlternateContent>
      </w:r>
    </w:p>
    <w:p w14:paraId="56ED3564" w14:textId="77777777" w:rsidR="0041467C" w:rsidRDefault="0041467C">
      <w:pPr>
        <w:spacing w:after="0"/>
        <w:jc w:val="both"/>
        <w:rPr>
          <w:rFonts w:ascii="Arial" w:hAnsi="Arial"/>
          <w:strike/>
          <w:sz w:val="20"/>
          <w:szCs w:val="20"/>
        </w:rPr>
      </w:pPr>
    </w:p>
    <w:p w14:paraId="65261AC3" w14:textId="77777777" w:rsidR="0041467C" w:rsidRDefault="0041467C">
      <w:pPr>
        <w:spacing w:after="0"/>
        <w:jc w:val="both"/>
        <w:rPr>
          <w:rFonts w:ascii="Arial" w:hAnsi="Arial"/>
          <w:strike/>
          <w:sz w:val="20"/>
          <w:szCs w:val="20"/>
        </w:rPr>
      </w:pPr>
    </w:p>
    <w:p w14:paraId="01DD9817" w14:textId="77777777" w:rsidR="0041467C" w:rsidRDefault="0041467C">
      <w:pPr>
        <w:spacing w:after="0"/>
        <w:jc w:val="both"/>
        <w:rPr>
          <w:rFonts w:ascii="Arial" w:hAnsi="Arial"/>
          <w:strike/>
          <w:sz w:val="20"/>
          <w:szCs w:val="20"/>
        </w:rPr>
      </w:pPr>
    </w:p>
    <w:p w14:paraId="2D205764" w14:textId="77777777" w:rsidR="0041467C" w:rsidRDefault="0041467C">
      <w:pPr>
        <w:spacing w:after="0"/>
        <w:jc w:val="both"/>
        <w:rPr>
          <w:rFonts w:ascii="Arial" w:hAnsi="Arial"/>
          <w:strike/>
          <w:sz w:val="20"/>
          <w:szCs w:val="20"/>
        </w:rPr>
      </w:pPr>
    </w:p>
    <w:p w14:paraId="4CC5512D" w14:textId="77777777" w:rsidR="0041467C" w:rsidRDefault="0041467C">
      <w:pPr>
        <w:spacing w:after="0"/>
        <w:jc w:val="both"/>
        <w:rPr>
          <w:rFonts w:ascii="Arial" w:hAnsi="Arial"/>
          <w:strike/>
          <w:sz w:val="20"/>
          <w:szCs w:val="20"/>
        </w:rPr>
      </w:pPr>
    </w:p>
    <w:p w14:paraId="48C7FE85" w14:textId="77777777" w:rsidR="0041467C" w:rsidRDefault="0041467C">
      <w:pPr>
        <w:spacing w:after="0"/>
        <w:jc w:val="both"/>
        <w:rPr>
          <w:rFonts w:ascii="Arial" w:hAnsi="Arial"/>
          <w:strike/>
          <w:sz w:val="20"/>
          <w:szCs w:val="20"/>
        </w:rPr>
      </w:pPr>
    </w:p>
    <w:p w14:paraId="3B7BFF9F" w14:textId="77777777" w:rsidR="0041467C" w:rsidRDefault="0041467C">
      <w:pPr>
        <w:spacing w:after="0"/>
        <w:jc w:val="both"/>
        <w:rPr>
          <w:rFonts w:ascii="Arial" w:hAnsi="Arial"/>
          <w:strike/>
          <w:sz w:val="20"/>
          <w:szCs w:val="20"/>
        </w:rPr>
      </w:pPr>
    </w:p>
    <w:p w14:paraId="1F0A3F4B" w14:textId="77777777" w:rsidR="0041467C" w:rsidRDefault="0041467C">
      <w:pPr>
        <w:spacing w:after="0"/>
        <w:jc w:val="both"/>
        <w:rPr>
          <w:rFonts w:ascii="Arial" w:hAnsi="Arial"/>
          <w:strike/>
          <w:sz w:val="20"/>
          <w:szCs w:val="20"/>
        </w:rPr>
      </w:pPr>
    </w:p>
    <w:p w14:paraId="672AF37D" w14:textId="77777777" w:rsidR="00415971" w:rsidRDefault="00415971">
      <w:pPr>
        <w:spacing w:after="0"/>
        <w:jc w:val="both"/>
        <w:rPr>
          <w:rFonts w:ascii="Arial" w:eastAsia="Arial" w:hAnsi="Arial" w:cs="Arial"/>
          <w:strike/>
          <w:sz w:val="20"/>
          <w:szCs w:val="20"/>
        </w:rPr>
      </w:pPr>
    </w:p>
    <w:p w14:paraId="75CBFB0B" w14:textId="77777777" w:rsidR="0041467C" w:rsidRDefault="0041467C">
      <w:pPr>
        <w:spacing w:after="0"/>
        <w:jc w:val="both"/>
        <w:rPr>
          <w:rFonts w:ascii="Arial" w:eastAsia="Arial" w:hAnsi="Arial" w:cs="Arial"/>
          <w:strike/>
          <w:sz w:val="20"/>
          <w:szCs w:val="20"/>
        </w:rPr>
      </w:pPr>
    </w:p>
    <w:p w14:paraId="2D6ABFC5" w14:textId="77777777" w:rsidR="0049098E" w:rsidRDefault="0049098E">
      <w:pPr>
        <w:widowControl w:val="0"/>
        <w:spacing w:after="0" w:line="240" w:lineRule="auto"/>
        <w:jc w:val="both"/>
        <w:rPr>
          <w:rFonts w:ascii="Arial" w:eastAsia="Arial" w:hAnsi="Arial" w:cs="Arial"/>
          <w:color w:val="auto"/>
          <w:sz w:val="12"/>
          <w:szCs w:val="12"/>
        </w:rPr>
      </w:pPr>
    </w:p>
    <w:p w14:paraId="734BBC42" w14:textId="77777777" w:rsidR="00F12345" w:rsidRDefault="00F12345" w:rsidP="002E45C3">
      <w:pPr>
        <w:widowControl w:val="0"/>
        <w:spacing w:after="0" w:line="240" w:lineRule="auto"/>
        <w:jc w:val="both"/>
        <w:rPr>
          <w:rFonts w:ascii="Arial" w:hAnsi="Arial"/>
          <w:b/>
          <w:bCs/>
          <w:i/>
          <w:iCs/>
          <w:color w:val="E36C0A" w:themeColor="accent6" w:themeShade="BF"/>
          <w:sz w:val="20"/>
          <w:szCs w:val="20"/>
        </w:rPr>
      </w:pPr>
    </w:p>
    <w:p w14:paraId="3B822C0F" w14:textId="77777777" w:rsidR="00F63DDF" w:rsidRPr="00F12345" w:rsidRDefault="00D321FD" w:rsidP="002E45C3">
      <w:pPr>
        <w:widowControl w:val="0"/>
        <w:spacing w:after="0" w:line="240" w:lineRule="auto"/>
        <w:jc w:val="both"/>
        <w:rPr>
          <w:rFonts w:ascii="Arial" w:hAnsi="Arial"/>
          <w:b/>
          <w:bCs/>
          <w:i/>
          <w:iCs/>
          <w:color w:val="E36C0A" w:themeColor="accent6" w:themeShade="BF"/>
          <w:sz w:val="20"/>
          <w:szCs w:val="20"/>
        </w:rPr>
      </w:pPr>
      <w:r>
        <w:rPr>
          <w:rFonts w:ascii="Arial" w:hAnsi="Arial"/>
          <w:b/>
          <w:bCs/>
          <w:i/>
          <w:iCs/>
          <w:color w:val="E36C0A" w:themeColor="accent6" w:themeShade="BF"/>
          <w:sz w:val="20"/>
          <w:szCs w:val="20"/>
        </w:rPr>
        <w:t>KEY FINANCIAL AND OPERATING RESULTS:</w:t>
      </w:r>
      <w:bookmarkStart w:id="0" w:name="_Hlk70430748"/>
    </w:p>
    <w:p w14:paraId="0BE10D80" w14:textId="77777777" w:rsidR="006A373D" w:rsidRPr="002E45C3" w:rsidRDefault="006A373D" w:rsidP="002E45C3">
      <w:pPr>
        <w:widowControl w:val="0"/>
        <w:spacing w:after="0" w:line="240" w:lineRule="auto"/>
        <w:jc w:val="both"/>
        <w:rPr>
          <w:rFonts w:ascii="Arial" w:hAnsi="Arial"/>
          <w:b/>
          <w:bCs/>
          <w:sz w:val="20"/>
          <w:szCs w:val="20"/>
        </w:rPr>
      </w:pPr>
    </w:p>
    <w:p w14:paraId="32E4D8E4" w14:textId="42916B74" w:rsidR="00646560" w:rsidRPr="00144431" w:rsidRDefault="00646560" w:rsidP="00646560">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360" w:lineRule="auto"/>
        <w:ind w:left="714" w:hanging="357"/>
        <w:contextualSpacing/>
        <w:rPr>
          <w:rFonts w:ascii="Arial" w:eastAsia="Calibri" w:hAnsi="Arial" w:cs="Arial"/>
          <w:iCs/>
          <w:sz w:val="20"/>
          <w:szCs w:val="20"/>
        </w:rPr>
      </w:pPr>
      <w:r>
        <w:rPr>
          <w:rFonts w:ascii="Arial" w:hAnsi="Arial"/>
          <w:sz w:val="20"/>
          <w:szCs w:val="20"/>
        </w:rPr>
        <w:t>Consolidated revenue</w:t>
      </w:r>
      <w:r>
        <w:rPr>
          <w:sz w:val="20"/>
          <w:szCs w:val="20"/>
          <w:vertAlign w:val="superscript"/>
        </w:rPr>
        <w:t>[1]</w:t>
      </w:r>
      <w:r>
        <w:rPr>
          <w:rFonts w:ascii="Arial" w:hAnsi="Arial"/>
          <w:sz w:val="20"/>
          <w:szCs w:val="20"/>
        </w:rPr>
        <w:t xml:space="preserve"> in the 1st half of 2024 grew by 13.6% to come to RUB 3,779 million.</w:t>
      </w:r>
      <w:r>
        <w:rPr>
          <w:rFonts w:ascii="Arial" w:hAnsi="Arial"/>
          <w:iCs/>
          <w:sz w:val="20"/>
          <w:szCs w:val="20"/>
        </w:rPr>
        <w:t xml:space="preserve"> The revenue increased mainly thanks to the gradual upgrades of restaurants in city locations and transportation hubs, steadily high menu quality and customer service standards, effective marketing campaigns aimed at increasing loyalty and promoting brands.</w:t>
      </w:r>
    </w:p>
    <w:p w14:paraId="3448D058" w14:textId="23618086" w:rsidR="00646560" w:rsidRPr="00144431" w:rsidRDefault="00646560" w:rsidP="00714B83">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360" w:lineRule="auto"/>
        <w:ind w:left="714" w:hanging="357"/>
        <w:contextualSpacing/>
        <w:rPr>
          <w:rFonts w:ascii="Arial" w:hAnsi="Arial" w:cs="Arial"/>
          <w:sz w:val="20"/>
          <w:szCs w:val="20"/>
        </w:rPr>
      </w:pPr>
      <w:r>
        <w:rPr>
          <w:rFonts w:ascii="Arial" w:hAnsi="Arial"/>
          <w:sz w:val="20"/>
          <w:szCs w:val="20"/>
        </w:rPr>
        <w:t>In the 1st half of 2024, EBITDA</w:t>
      </w:r>
      <w:r>
        <w:rPr>
          <w:sz w:val="20"/>
          <w:szCs w:val="20"/>
          <w:vertAlign w:val="superscript"/>
        </w:rPr>
        <w:t>[2]</w:t>
      </w:r>
      <w:r>
        <w:rPr>
          <w:sz w:val="20"/>
          <w:szCs w:val="20"/>
        </w:rPr>
        <w:t xml:space="preserve"> </w:t>
      </w:r>
      <w:r>
        <w:rPr>
          <w:rFonts w:ascii="Arial" w:hAnsi="Arial"/>
          <w:sz w:val="20"/>
          <w:szCs w:val="20"/>
        </w:rPr>
        <w:t xml:space="preserve">before impairment and write-offs increased by 14.2% compared with the same period in 2023. Net of restaurant start-up costs incurred in the 1st half of the year, normalized EBITDA amounted to RUB 328.5 million. </w:t>
      </w:r>
    </w:p>
    <w:p w14:paraId="74FB683D" w14:textId="477F6E35" w:rsidR="00E20B8B" w:rsidRPr="00144431" w:rsidRDefault="00E20B8B" w:rsidP="00E20B8B">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360" w:lineRule="auto"/>
        <w:ind w:left="714" w:hanging="357"/>
        <w:contextualSpacing/>
        <w:rPr>
          <w:rFonts w:ascii="Arial" w:hAnsi="Arial" w:cs="Arial"/>
          <w:sz w:val="20"/>
          <w:szCs w:val="20"/>
        </w:rPr>
      </w:pPr>
      <w:bookmarkStart w:id="1" w:name="_Hlk143696179"/>
      <w:bookmarkEnd w:id="0"/>
      <w:r>
        <w:rPr>
          <w:rFonts w:ascii="Arial" w:hAnsi="Arial"/>
          <w:sz w:val="20"/>
          <w:szCs w:val="20"/>
        </w:rPr>
        <w:t xml:space="preserve">The Company managed to maintain at the level of the 1st half of 2023 the cost to revenue ratio (81%) and business margin (8%) amid a high inflation rate that went up into double digits year-over-year by implementing measures to control cost, update menus and adapt them to the current customer demand and by negotiating with landlords over good rental offers. </w:t>
      </w:r>
    </w:p>
    <w:p w14:paraId="4FB56A26" w14:textId="6CACCAAD" w:rsidR="003106B0" w:rsidRPr="00144431" w:rsidRDefault="009D7C92" w:rsidP="003106B0">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360" w:lineRule="auto"/>
        <w:ind w:left="714" w:hanging="357"/>
        <w:contextualSpacing/>
        <w:rPr>
          <w:rFonts w:ascii="Arial" w:hAnsi="Arial" w:cs="Arial"/>
          <w:sz w:val="20"/>
          <w:szCs w:val="20"/>
        </w:rPr>
      </w:pPr>
      <w:r>
        <w:rPr>
          <w:rFonts w:ascii="Arial" w:hAnsi="Arial"/>
          <w:sz w:val="20"/>
          <w:szCs w:val="20"/>
        </w:rPr>
        <w:t xml:space="preserve">Net loss came to RUB 178 million due to seasonality factors (generally, most of EBITDA comes in the second half of the year). </w:t>
      </w:r>
    </w:p>
    <w:bookmarkEnd w:id="1"/>
    <w:p w14:paraId="17687512" w14:textId="40C7EC63" w:rsidR="00B710AB" w:rsidRPr="00144431" w:rsidRDefault="00770979" w:rsidP="00B710AB">
      <w:pPr>
        <w:pStyle w:val="a6"/>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Lines="20" w:after="48" w:line="360" w:lineRule="auto"/>
        <w:ind w:left="714" w:hanging="357"/>
        <w:contextualSpacing/>
        <w:rPr>
          <w:rFonts w:ascii="Arial" w:hAnsi="Arial" w:cs="Arial"/>
          <w:sz w:val="20"/>
          <w:szCs w:val="20"/>
        </w:rPr>
      </w:pPr>
      <w:r>
        <w:rPr>
          <w:rFonts w:ascii="Arial" w:hAnsi="Arial"/>
          <w:sz w:val="20"/>
          <w:szCs w:val="20"/>
        </w:rPr>
        <w:t>Thanks to the</w:t>
      </w:r>
      <w:r w:rsidR="004B7CB4">
        <w:rPr>
          <w:rFonts w:ascii="Arial" w:hAnsi="Arial"/>
          <w:sz w:val="20"/>
          <w:szCs w:val="20"/>
        </w:rPr>
        <w:t xml:space="preserve"> systematic efforts to reduce payables to banks, at the end of the 1st half of 2024 the bank debt shrank to RUB 2.5 billion. </w:t>
      </w:r>
    </w:p>
    <w:p w14:paraId="438010E6" w14:textId="77777777" w:rsidR="00E20B8B" w:rsidRPr="00144431" w:rsidRDefault="00E20B8B" w:rsidP="001D44B2">
      <w:pPr>
        <w:spacing w:after="0"/>
        <w:jc w:val="both"/>
        <w:rPr>
          <w:rFonts w:ascii="Arial" w:hAnsi="Arial"/>
          <w:b/>
          <w:bCs/>
          <w:i/>
          <w:iCs/>
          <w:color w:val="E36C0A" w:themeColor="accent6" w:themeShade="BF"/>
          <w:sz w:val="20"/>
          <w:szCs w:val="20"/>
        </w:rPr>
      </w:pPr>
    </w:p>
    <w:p w14:paraId="71977A6E" w14:textId="77777777" w:rsidR="004E6AAF" w:rsidRDefault="004E6AAF" w:rsidP="001D44B2">
      <w:pPr>
        <w:spacing w:after="0"/>
        <w:jc w:val="both"/>
        <w:rPr>
          <w:rFonts w:ascii="Arial" w:hAnsi="Arial"/>
          <w:b/>
          <w:bCs/>
          <w:i/>
          <w:iCs/>
          <w:color w:val="E36C0A" w:themeColor="accent6" w:themeShade="BF"/>
          <w:sz w:val="20"/>
          <w:szCs w:val="20"/>
        </w:rPr>
      </w:pPr>
    </w:p>
    <w:p w14:paraId="5D5AB3CC" w14:textId="77777777" w:rsidR="004E6AAF" w:rsidRDefault="004E6AAF" w:rsidP="001D44B2">
      <w:pPr>
        <w:spacing w:after="0"/>
        <w:jc w:val="both"/>
        <w:rPr>
          <w:rFonts w:ascii="Arial" w:hAnsi="Arial"/>
          <w:b/>
          <w:bCs/>
          <w:i/>
          <w:iCs/>
          <w:color w:val="E36C0A" w:themeColor="accent6" w:themeShade="BF"/>
          <w:sz w:val="20"/>
          <w:szCs w:val="20"/>
        </w:rPr>
      </w:pPr>
    </w:p>
    <w:p w14:paraId="3E41A2E7" w14:textId="77777777" w:rsidR="004E6AAF" w:rsidRDefault="004E6AAF" w:rsidP="001D44B2">
      <w:pPr>
        <w:spacing w:after="0"/>
        <w:jc w:val="both"/>
        <w:rPr>
          <w:rFonts w:ascii="Arial" w:hAnsi="Arial"/>
          <w:b/>
          <w:bCs/>
          <w:i/>
          <w:iCs/>
          <w:color w:val="E36C0A" w:themeColor="accent6" w:themeShade="BF"/>
          <w:sz w:val="20"/>
          <w:szCs w:val="20"/>
        </w:rPr>
      </w:pPr>
    </w:p>
    <w:p w14:paraId="0677BD1E" w14:textId="7BB08740" w:rsidR="00FE3D49" w:rsidRDefault="00FE3D49" w:rsidP="001D44B2">
      <w:pPr>
        <w:spacing w:after="0"/>
        <w:jc w:val="both"/>
        <w:rPr>
          <w:rFonts w:ascii="Arial" w:hAnsi="Arial"/>
          <w:b/>
          <w:bCs/>
          <w:i/>
          <w:iCs/>
          <w:color w:val="E36C0A" w:themeColor="accent6" w:themeShade="BF"/>
          <w:sz w:val="20"/>
          <w:szCs w:val="20"/>
        </w:rPr>
      </w:pPr>
      <w:r>
        <w:rPr>
          <w:rFonts w:ascii="Arial" w:hAnsi="Arial"/>
          <w:b/>
          <w:bCs/>
          <w:i/>
          <w:iCs/>
          <w:color w:val="E36C0A" w:themeColor="accent6" w:themeShade="BF"/>
          <w:sz w:val="20"/>
          <w:szCs w:val="20"/>
        </w:rPr>
        <w:lastRenderedPageBreak/>
        <w:t>MARGARITA KOSTEYEVA, PRESIDENT OF ROSINTER RESTAURANTS HOLDING PJSC, SAYS:</w:t>
      </w:r>
    </w:p>
    <w:p w14:paraId="3A9EE57D" w14:textId="7A5AA65B" w:rsidR="00FE3D49" w:rsidRPr="00144431" w:rsidRDefault="008A57F9" w:rsidP="001D44B2">
      <w:pPr>
        <w:spacing w:before="120" w:after="120" w:line="360" w:lineRule="auto"/>
        <w:jc w:val="both"/>
        <w:rPr>
          <w:rFonts w:ascii="Arial" w:hAnsi="Arial" w:cs="Arial"/>
          <w:i/>
          <w:iCs/>
          <w:sz w:val="20"/>
          <w:szCs w:val="20"/>
        </w:rPr>
      </w:pPr>
      <w:r>
        <w:rPr>
          <w:rFonts w:ascii="Arial" w:hAnsi="Arial"/>
          <w:i/>
          <w:iCs/>
          <w:sz w:val="20"/>
          <w:szCs w:val="20"/>
        </w:rPr>
        <w:t>The first six months of 2024 were marked by a variety of economic factors. As a result of the implementation of its programme on upgrading restaurants, launching new operational projects and initiatives and updating brands, 2024 started off very well for Rosinter: the number of the Company’s transactions and, in consequence, its revenues grew. Despite the attack at the Crocus City Hall that reduced traffic in several restaurants located in the malls, revenue for the 1st half of the year grew by 13.6%.</w:t>
      </w:r>
    </w:p>
    <w:p w14:paraId="5846827D" w14:textId="3C01B483" w:rsidR="00FE3D49" w:rsidRPr="00144431" w:rsidRDefault="00FE3D49" w:rsidP="001D44B2">
      <w:pPr>
        <w:spacing w:before="120" w:after="120" w:line="360" w:lineRule="auto"/>
        <w:jc w:val="both"/>
        <w:rPr>
          <w:rFonts w:ascii="Arial" w:hAnsi="Arial" w:cs="Arial"/>
          <w:i/>
          <w:iCs/>
          <w:sz w:val="20"/>
          <w:szCs w:val="20"/>
        </w:rPr>
      </w:pPr>
      <w:r>
        <w:rPr>
          <w:rFonts w:ascii="Arial" w:hAnsi="Arial"/>
          <w:i/>
          <w:iCs/>
          <w:sz w:val="20"/>
          <w:szCs w:val="20"/>
        </w:rPr>
        <w:t xml:space="preserve">Rosinter proceeded with qualitative chain upgrade to improve business efficiency.  As many as 20 locations have already been upgraded and opened this year, among them airport locations that were earlier removed from operation due to COVID-19 and the special military operation. Among the key projects is the launch of the Lalibela coffee shop brand at the Aviapark shopping mall (today, there are already 6 coffee shops run under the new brand). 5 restaurant complexes at Kazan Airport and 6 locations at Sheremetyevo International Airport have been upgraded. An IL Patio flagship restaurant with a new visual identity design has appeared in Afimall. A new design concept has been created also for a Planet Sushi restaurant opened at the Crocus Vega Mall and an IL Patio restaurant opened in Novosibirsk. </w:t>
      </w:r>
    </w:p>
    <w:p w14:paraId="2408CFDA" w14:textId="5D201531" w:rsidR="00FE3D49" w:rsidRPr="00144431" w:rsidRDefault="00FE3D49" w:rsidP="001D44B2">
      <w:pPr>
        <w:spacing w:before="120" w:after="120" w:line="360" w:lineRule="auto"/>
        <w:jc w:val="both"/>
        <w:rPr>
          <w:rFonts w:ascii="Arial" w:hAnsi="Arial" w:cs="Arial"/>
          <w:i/>
          <w:iCs/>
          <w:sz w:val="20"/>
          <w:szCs w:val="20"/>
        </w:rPr>
      </w:pPr>
      <w:r>
        <w:rPr>
          <w:rFonts w:ascii="Arial" w:hAnsi="Arial"/>
          <w:i/>
          <w:iCs/>
          <w:sz w:val="20"/>
          <w:szCs w:val="20"/>
        </w:rPr>
        <w:t xml:space="preserve">The Company plans to open more restaurants in the second half of the year, including those under a franchising scheme. The key event in the corporate restaurant segment will be the opening of the IL Patio flagship restaurant in Nikolskaya street in Moscow and the complete rebranding of a coffee shop chain on the basis of the new Lalibela Coffee brand (2024-2025). The Company plans to expand its business to a few new regions of Russia in partnership with the local businessmen under franchising schemes. </w:t>
      </w:r>
    </w:p>
    <w:p w14:paraId="011A9AE4" w14:textId="7576600D" w:rsidR="00FE3D49" w:rsidRPr="00144431" w:rsidRDefault="00FE3D49" w:rsidP="001D44B2">
      <w:pPr>
        <w:spacing w:before="120" w:after="120" w:line="360" w:lineRule="auto"/>
        <w:jc w:val="both"/>
        <w:rPr>
          <w:rFonts w:ascii="Arial" w:hAnsi="Arial" w:cs="Arial"/>
          <w:i/>
          <w:iCs/>
          <w:sz w:val="20"/>
          <w:szCs w:val="20"/>
        </w:rPr>
      </w:pPr>
      <w:r>
        <w:rPr>
          <w:rFonts w:ascii="Arial" w:hAnsi="Arial"/>
          <w:i/>
          <w:iCs/>
          <w:sz w:val="20"/>
          <w:szCs w:val="20"/>
        </w:rPr>
        <w:t xml:space="preserve"> Despite the diversity of the economic trends observed at the beginning of the year and macroeconomic uncertainty in the second half of this year, we expect further sustainable business expansion of Rosinter Restaurants and improvement of its key financial indicators. </w:t>
      </w:r>
    </w:p>
    <w:p w14:paraId="74B4D53F" w14:textId="77777777" w:rsidR="00FE3D49" w:rsidRPr="00144431" w:rsidRDefault="00FE3D49" w:rsidP="00FE3D49">
      <w:pPr>
        <w:spacing w:after="0" w:line="240" w:lineRule="auto"/>
        <w:rPr>
          <w:rFonts w:ascii="Arial" w:hAnsi="Arial" w:cs="Arial"/>
          <w:i/>
          <w:iCs/>
          <w:sz w:val="20"/>
          <w:szCs w:val="20"/>
        </w:rPr>
      </w:pPr>
      <w:r>
        <w:br w:type="page"/>
      </w:r>
    </w:p>
    <w:tbl>
      <w:tblPr>
        <w:tblStyle w:val="TableNormal1"/>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3"/>
      </w:tblGrid>
      <w:tr w:rsidR="00415971" w:rsidRPr="00144431" w14:paraId="31F3426E" w14:textId="77777777" w:rsidTr="00D321FD">
        <w:trPr>
          <w:trHeight w:val="348"/>
          <w:jc w:val="center"/>
        </w:trPr>
        <w:tc>
          <w:tcPr>
            <w:tcW w:w="9923" w:type="dxa"/>
            <w:tcBorders>
              <w:top w:val="nil"/>
              <w:left w:val="nil"/>
              <w:bottom w:val="nil"/>
              <w:right w:val="nil"/>
            </w:tcBorders>
            <w:shd w:val="clear" w:color="auto" w:fill="FFC000"/>
            <w:tcMar>
              <w:top w:w="80" w:type="dxa"/>
              <w:left w:w="80" w:type="dxa"/>
              <w:bottom w:w="80" w:type="dxa"/>
              <w:right w:w="80" w:type="dxa"/>
            </w:tcMar>
            <w:vAlign w:val="center"/>
          </w:tcPr>
          <w:p w14:paraId="6A0737C4" w14:textId="04EC60FD" w:rsidR="00415971" w:rsidRPr="00144431" w:rsidRDefault="008E6DD4" w:rsidP="00911E89">
            <w:pPr>
              <w:spacing w:after="0" w:line="240" w:lineRule="auto"/>
              <w:jc w:val="center"/>
            </w:pPr>
            <w:r>
              <w:lastRenderedPageBreak/>
              <w:br w:type="page"/>
            </w:r>
            <w:r>
              <w:rPr>
                <w:b/>
                <w:bCs/>
              </w:rPr>
              <w:t>FINANCIAL AND OPERATING RESULTS OF THE 1ST HALF OF 2024</w:t>
            </w:r>
          </w:p>
        </w:tc>
      </w:tr>
    </w:tbl>
    <w:p w14:paraId="5C4842D6" w14:textId="2A6C14F3" w:rsidR="00756E93" w:rsidRPr="00144431" w:rsidRDefault="00EF2D29">
      <w:pPr>
        <w:spacing w:before="240" w:after="0"/>
        <w:jc w:val="both"/>
        <w:rPr>
          <w:rFonts w:ascii="Arial" w:hAnsi="Arial"/>
          <w:i/>
          <w:iCs/>
          <w:color w:val="E36C0A" w:themeColor="accent6" w:themeShade="BF"/>
          <w:sz w:val="20"/>
          <w:szCs w:val="20"/>
        </w:rPr>
      </w:pPr>
      <w:r w:rsidRPr="00EF2D29">
        <w:drawing>
          <wp:inline distT="0" distB="0" distL="0" distR="0" wp14:anchorId="4811CC9F" wp14:editId="6682C5AB">
            <wp:extent cx="6296025" cy="5217160"/>
            <wp:effectExtent l="0" t="0" r="9525"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5217160"/>
                    </a:xfrm>
                    <a:prstGeom prst="rect">
                      <a:avLst/>
                    </a:prstGeom>
                    <a:noFill/>
                    <a:ln>
                      <a:noFill/>
                    </a:ln>
                  </pic:spPr>
                </pic:pic>
              </a:graphicData>
            </a:graphic>
          </wp:inline>
        </w:drawing>
      </w:r>
    </w:p>
    <w:p w14:paraId="5B38F384" w14:textId="77777777" w:rsidR="00415971" w:rsidRPr="00144431" w:rsidRDefault="008E6DD4">
      <w:pPr>
        <w:spacing w:before="240" w:after="0"/>
        <w:jc w:val="both"/>
        <w:rPr>
          <w:rFonts w:ascii="Arial" w:eastAsia="Arial" w:hAnsi="Arial" w:cs="Arial"/>
          <w:i/>
          <w:iCs/>
          <w:color w:val="E36C0A" w:themeColor="accent6" w:themeShade="BF"/>
          <w:sz w:val="20"/>
          <w:szCs w:val="20"/>
        </w:rPr>
      </w:pPr>
      <w:r>
        <w:rPr>
          <w:rFonts w:ascii="Arial" w:hAnsi="Arial"/>
          <w:i/>
          <w:iCs/>
          <w:color w:val="E36C0A" w:themeColor="accent6" w:themeShade="BF"/>
          <w:sz w:val="20"/>
          <w:szCs w:val="20"/>
        </w:rPr>
        <w:t>The comments to the table are given before the application of IFRS 16 “Leases”</w:t>
      </w:r>
    </w:p>
    <w:p w14:paraId="32E2FEBF" w14:textId="2690A432" w:rsidR="00415971" w:rsidRPr="00144431" w:rsidRDefault="008E6DD4">
      <w:pPr>
        <w:spacing w:before="240" w:after="0"/>
        <w:jc w:val="both"/>
        <w:rPr>
          <w:rFonts w:ascii="Arial" w:hAnsi="Arial" w:cs="Arial"/>
          <w:sz w:val="20"/>
          <w:szCs w:val="20"/>
        </w:rPr>
      </w:pPr>
      <w:bookmarkStart w:id="2" w:name="_Hlk101540493"/>
      <w:r>
        <w:rPr>
          <w:rFonts w:ascii="Arial" w:hAnsi="Arial"/>
          <w:b/>
          <w:i/>
          <w:sz w:val="20"/>
          <w:szCs w:val="20"/>
        </w:rPr>
        <w:t>Consolidated revenue</w:t>
      </w:r>
      <w:r>
        <w:rPr>
          <w:rFonts w:ascii="Arial" w:hAnsi="Arial"/>
          <w:sz w:val="20"/>
          <w:szCs w:val="20"/>
        </w:rPr>
        <w:t xml:space="preserve"> in the 1st half of 2024 increased by 13.6% compared with the same period in 2023 and amounted to RUB 3,779 million.</w:t>
      </w:r>
    </w:p>
    <w:p w14:paraId="1ED47D52" w14:textId="625E42F6" w:rsidR="00506423" w:rsidRPr="00144431" w:rsidRDefault="006B1D8F">
      <w:pPr>
        <w:spacing w:before="240" w:after="0"/>
        <w:jc w:val="both"/>
        <w:rPr>
          <w:rFonts w:ascii="Arial" w:hAnsi="Arial" w:cs="Arial"/>
          <w:sz w:val="20"/>
          <w:szCs w:val="20"/>
        </w:rPr>
      </w:pPr>
      <w:r>
        <w:rPr>
          <w:rFonts w:ascii="Arial" w:hAnsi="Arial"/>
          <w:b/>
          <w:bCs/>
          <w:i/>
          <w:iCs/>
          <w:sz w:val="20"/>
          <w:szCs w:val="20"/>
        </w:rPr>
        <w:t>Cost of sales</w:t>
      </w:r>
      <w:r>
        <w:rPr>
          <w:rFonts w:ascii="Arial" w:hAnsi="Arial"/>
          <w:bCs/>
          <w:iCs/>
          <w:sz w:val="20"/>
          <w:szCs w:val="20"/>
        </w:rPr>
        <w:t xml:space="preserve"> decreased by 0.6% against the revenues. The item that decreased most of all was </w:t>
      </w:r>
      <w:r>
        <w:rPr>
          <w:rFonts w:ascii="Arial" w:hAnsi="Arial"/>
          <w:b/>
          <w:bCs/>
          <w:i/>
          <w:iCs/>
          <w:sz w:val="20"/>
          <w:szCs w:val="20"/>
        </w:rPr>
        <w:t xml:space="preserve">food costs </w:t>
      </w:r>
      <w:r>
        <w:rPr>
          <w:rFonts w:ascii="Arial" w:hAnsi="Arial"/>
          <w:bCs/>
          <w:iCs/>
          <w:sz w:val="20"/>
          <w:szCs w:val="20"/>
        </w:rPr>
        <w:t>-</w:t>
      </w:r>
      <w:r>
        <w:rPr>
          <w:rFonts w:ascii="Arial" w:hAnsi="Arial"/>
          <w:b/>
          <w:bCs/>
          <w:i/>
          <w:iCs/>
          <w:sz w:val="20"/>
          <w:szCs w:val="20"/>
        </w:rPr>
        <w:t xml:space="preserve"> </w:t>
      </w:r>
      <w:r>
        <w:rPr>
          <w:rFonts w:ascii="Arial" w:hAnsi="Arial"/>
          <w:sz w:val="20"/>
          <w:szCs w:val="20"/>
        </w:rPr>
        <w:t>also by 0.6% (calculated as a percentage of the revenues) thanks to the implementation of several supplier relationship management initiatives, optimization of purchase prices and menu re-engineering.</w:t>
      </w:r>
    </w:p>
    <w:bookmarkEnd w:id="2"/>
    <w:p w14:paraId="44232AFA" w14:textId="611B954B" w:rsidR="00B03DED" w:rsidRPr="00144431" w:rsidRDefault="00B03DED">
      <w:pPr>
        <w:spacing w:before="240" w:after="0"/>
        <w:jc w:val="both"/>
        <w:rPr>
          <w:rFonts w:ascii="Arial" w:hAnsi="Arial"/>
          <w:sz w:val="20"/>
          <w:szCs w:val="20"/>
        </w:rPr>
      </w:pPr>
      <w:r>
        <w:rPr>
          <w:rFonts w:ascii="Arial" w:hAnsi="Arial"/>
          <w:b/>
          <w:bCs/>
          <w:i/>
          <w:iCs/>
          <w:sz w:val="20"/>
          <w:szCs w:val="20"/>
        </w:rPr>
        <w:t xml:space="preserve">Labour costs </w:t>
      </w:r>
      <w:r>
        <w:rPr>
          <w:rFonts w:ascii="Arial" w:hAnsi="Arial"/>
          <w:sz w:val="20"/>
          <w:szCs w:val="20"/>
        </w:rPr>
        <w:t>increased by 0.7% (calculated as a percentage of the revenues) compared with the 1st half of 2023, which was due to the overall personnel shortage in the Russian labour market.</w:t>
      </w:r>
    </w:p>
    <w:p w14:paraId="1434888C" w14:textId="02B7BFFE" w:rsidR="00415971" w:rsidRPr="00144431" w:rsidRDefault="008E6DD4">
      <w:pPr>
        <w:spacing w:before="240" w:after="0"/>
        <w:jc w:val="both"/>
        <w:rPr>
          <w:rFonts w:ascii="Arial" w:hAnsi="Arial"/>
          <w:sz w:val="20"/>
          <w:szCs w:val="20"/>
        </w:rPr>
      </w:pPr>
      <w:bookmarkStart w:id="3" w:name="_Hlk101541641"/>
      <w:r>
        <w:rPr>
          <w:rFonts w:ascii="Arial" w:hAnsi="Arial"/>
          <w:b/>
          <w:bCs/>
          <w:i/>
          <w:iCs/>
          <w:sz w:val="20"/>
          <w:szCs w:val="20"/>
        </w:rPr>
        <w:t>Lease costs</w:t>
      </w:r>
      <w:r>
        <w:rPr>
          <w:rFonts w:ascii="Arial" w:hAnsi="Arial"/>
          <w:b/>
          <w:bCs/>
          <w:i/>
          <w:iCs/>
          <w:color w:val="808080"/>
          <w:sz w:val="20"/>
          <w:szCs w:val="20"/>
          <w:u w:color="808080"/>
        </w:rPr>
        <w:t xml:space="preserve"> </w:t>
      </w:r>
      <w:r>
        <w:rPr>
          <w:rFonts w:ascii="Arial" w:hAnsi="Arial"/>
          <w:sz w:val="20"/>
          <w:szCs w:val="20"/>
        </w:rPr>
        <w:t xml:space="preserve">increased in the 1st half of 2024 by 0.2% (calculated as a percentage of the revenues) as a result of the increase in the rent rates </w:t>
      </w:r>
      <w:bookmarkEnd w:id="3"/>
      <w:r>
        <w:rPr>
          <w:rFonts w:ascii="Arial" w:hAnsi="Arial"/>
          <w:sz w:val="20"/>
          <w:szCs w:val="20"/>
        </w:rPr>
        <w:t>in the percentage of the revenues.</w:t>
      </w:r>
    </w:p>
    <w:p w14:paraId="3E672087" w14:textId="6D01CF52" w:rsidR="00F22B55" w:rsidRPr="00144431" w:rsidRDefault="00FA5F67" w:rsidP="00F22B55">
      <w:pPr>
        <w:spacing w:before="240" w:after="0"/>
        <w:jc w:val="both"/>
        <w:rPr>
          <w:rFonts w:ascii="Arial" w:hAnsi="Arial" w:cs="Arial"/>
          <w:sz w:val="20"/>
          <w:szCs w:val="20"/>
        </w:rPr>
      </w:pPr>
      <w:r>
        <w:rPr>
          <w:rFonts w:ascii="Arial" w:hAnsi="Arial"/>
          <w:b/>
          <w:bCs/>
          <w:i/>
          <w:iCs/>
          <w:sz w:val="20"/>
          <w:szCs w:val="20"/>
        </w:rPr>
        <w:t>Gross profit margin</w:t>
      </w:r>
      <w:r>
        <w:rPr>
          <w:rFonts w:ascii="Arial" w:hAnsi="Arial"/>
          <w:sz w:val="20"/>
          <w:szCs w:val="20"/>
        </w:rPr>
        <w:t xml:space="preserve"> increased to 18.7% in the 1st half of 2024, from 18.1% in the 1st half of 2023, which was thanks to the increase in the revenues with costs maintained at the level for the comparable period (all figures are calculated as a percentage of the revenues).</w:t>
      </w:r>
    </w:p>
    <w:p w14:paraId="1557A154" w14:textId="106E79EC" w:rsidR="0062703E" w:rsidRPr="00144431" w:rsidRDefault="008E6DD4" w:rsidP="0062703E">
      <w:pPr>
        <w:spacing w:before="240" w:after="0"/>
        <w:jc w:val="both"/>
        <w:rPr>
          <w:rFonts w:ascii="Arial" w:hAnsi="Arial" w:cs="Arial"/>
          <w:bCs/>
          <w:iCs/>
          <w:sz w:val="20"/>
          <w:szCs w:val="20"/>
        </w:rPr>
      </w:pPr>
      <w:r>
        <w:rPr>
          <w:rFonts w:ascii="Arial" w:hAnsi="Arial"/>
          <w:b/>
          <w:i/>
          <w:sz w:val="20"/>
          <w:szCs w:val="20"/>
        </w:rPr>
        <w:t>Restaurant start-up expenses</w:t>
      </w:r>
      <w:r>
        <w:rPr>
          <w:rFonts w:ascii="Arial" w:hAnsi="Arial"/>
          <w:sz w:val="20"/>
          <w:szCs w:val="20"/>
        </w:rPr>
        <w:t xml:space="preserve"> increased by RUB 17 million compared with the 1st half of 2023, to RUB 24.5 million,</w:t>
      </w:r>
      <w:r>
        <w:rPr>
          <w:rFonts w:ascii="Arial" w:hAnsi="Arial"/>
          <w:bCs/>
          <w:iCs/>
          <w:sz w:val="20"/>
          <w:szCs w:val="20"/>
        </w:rPr>
        <w:t xml:space="preserve"> thanks to the upgrade of the existing and construction of new restaurants.</w:t>
      </w:r>
    </w:p>
    <w:p w14:paraId="5DD4D587" w14:textId="0C4AB87A" w:rsidR="00415971" w:rsidRPr="00144431" w:rsidRDefault="002541F6" w:rsidP="0062703E">
      <w:pPr>
        <w:spacing w:before="240"/>
        <w:jc w:val="both"/>
        <w:rPr>
          <w:rFonts w:ascii="Arial" w:eastAsia="Arial" w:hAnsi="Arial" w:cs="Arial"/>
          <w:sz w:val="20"/>
          <w:szCs w:val="20"/>
        </w:rPr>
      </w:pPr>
      <w:r>
        <w:rPr>
          <w:rFonts w:ascii="Arial" w:hAnsi="Arial"/>
          <w:b/>
          <w:i/>
          <w:sz w:val="20"/>
          <w:szCs w:val="20"/>
        </w:rPr>
        <w:lastRenderedPageBreak/>
        <w:t>Other income</w:t>
      </w:r>
      <w:r>
        <w:rPr>
          <w:rFonts w:ascii="Arial" w:hAnsi="Arial"/>
          <w:sz w:val="20"/>
          <w:szCs w:val="20"/>
        </w:rPr>
        <w:t xml:space="preserve"> decreased by RUB 4.8 million compared with the same period in 2023 to come to RUB 0.4 million.</w:t>
      </w:r>
    </w:p>
    <w:p w14:paraId="491076DB" w14:textId="4A62795A" w:rsidR="00955E28" w:rsidRPr="00144431" w:rsidRDefault="008E6DD4">
      <w:pPr>
        <w:spacing w:before="240" w:after="0"/>
        <w:jc w:val="both"/>
        <w:rPr>
          <w:rFonts w:ascii="Arial" w:eastAsia="Arial" w:hAnsi="Arial" w:cs="Arial"/>
          <w:sz w:val="20"/>
          <w:szCs w:val="20"/>
        </w:rPr>
      </w:pPr>
      <w:r>
        <w:rPr>
          <w:rFonts w:ascii="Arial" w:hAnsi="Arial"/>
          <w:b/>
          <w:i/>
          <w:sz w:val="20"/>
          <w:szCs w:val="20"/>
        </w:rPr>
        <w:t>Other expenses</w:t>
      </w:r>
      <w:r>
        <w:rPr>
          <w:rFonts w:ascii="Arial" w:hAnsi="Arial"/>
          <w:sz w:val="20"/>
          <w:szCs w:val="20"/>
        </w:rPr>
        <w:t xml:space="preserve"> grew by RUB 9.8 million compared with the same period in 2023 to come to RUB 18 million.</w:t>
      </w:r>
    </w:p>
    <w:p w14:paraId="17AC8F18" w14:textId="2D554FE7" w:rsidR="00415971" w:rsidRPr="00144431" w:rsidRDefault="003556FC">
      <w:pPr>
        <w:spacing w:before="240" w:after="0"/>
        <w:jc w:val="both"/>
        <w:rPr>
          <w:rFonts w:ascii="Arial" w:hAnsi="Arial" w:cs="Arial"/>
          <w:sz w:val="20"/>
          <w:szCs w:val="20"/>
        </w:rPr>
      </w:pPr>
      <w:r>
        <w:rPr>
          <w:rFonts w:ascii="Arial" w:hAnsi="Arial"/>
          <w:b/>
          <w:bCs/>
          <w:i/>
          <w:iCs/>
          <w:sz w:val="20"/>
          <w:szCs w:val="20"/>
        </w:rPr>
        <w:t>Foreign exchange gain</w:t>
      </w:r>
      <w:r>
        <w:rPr>
          <w:rFonts w:ascii="Arial" w:hAnsi="Arial"/>
          <w:sz w:val="20"/>
          <w:szCs w:val="20"/>
        </w:rPr>
        <w:t xml:space="preserve"> was RUB 4.8 million in the 1st half of 2024, against foreign exchange loss of RUB 13 million, as a result of foreign currency-denominated debt write-off.</w:t>
      </w:r>
    </w:p>
    <w:p w14:paraId="51FA55E6" w14:textId="3BD70D7F" w:rsidR="00415971" w:rsidRPr="00144431" w:rsidRDefault="00395FC7">
      <w:pPr>
        <w:spacing w:before="240" w:after="0"/>
        <w:jc w:val="both"/>
        <w:rPr>
          <w:rFonts w:ascii="Arial" w:eastAsia="Arial" w:hAnsi="Arial" w:cs="Arial"/>
          <w:i/>
          <w:sz w:val="20"/>
          <w:szCs w:val="20"/>
        </w:rPr>
      </w:pPr>
      <w:r>
        <w:rPr>
          <w:rFonts w:ascii="Arial" w:hAnsi="Arial"/>
          <w:b/>
          <w:bCs/>
          <w:i/>
          <w:iCs/>
          <w:sz w:val="20"/>
          <w:szCs w:val="20"/>
        </w:rPr>
        <w:t xml:space="preserve">Loss from reversal of impairment of operating assets </w:t>
      </w:r>
      <w:r>
        <w:rPr>
          <w:rFonts w:ascii="Arial" w:hAnsi="Arial"/>
          <w:bCs/>
          <w:iCs/>
          <w:sz w:val="20"/>
          <w:szCs w:val="20"/>
        </w:rPr>
        <w:t>remained at the level of</w:t>
      </w:r>
      <w:r>
        <w:rPr>
          <w:rFonts w:ascii="Arial" w:hAnsi="Arial"/>
          <w:bCs/>
          <w:i/>
          <w:iCs/>
          <w:sz w:val="20"/>
          <w:szCs w:val="20"/>
        </w:rPr>
        <w:t xml:space="preserve"> the 1st half of 2023 and amounted to RUB 22.7 million.</w:t>
      </w:r>
    </w:p>
    <w:p w14:paraId="0BBE2BA7" w14:textId="1890A490" w:rsidR="00415971" w:rsidRPr="00144431" w:rsidRDefault="008E6DD4">
      <w:pPr>
        <w:spacing w:before="240" w:after="0"/>
        <w:jc w:val="both"/>
        <w:rPr>
          <w:rFonts w:ascii="Arial" w:hAnsi="Arial"/>
          <w:sz w:val="20"/>
          <w:szCs w:val="20"/>
        </w:rPr>
      </w:pPr>
      <w:r>
        <w:rPr>
          <w:rFonts w:ascii="Arial" w:hAnsi="Arial"/>
          <w:b/>
          <w:i/>
          <w:sz w:val="20"/>
          <w:szCs w:val="20"/>
        </w:rPr>
        <w:t>Net loss</w:t>
      </w:r>
      <w:r>
        <w:rPr>
          <w:rFonts w:ascii="Arial" w:hAnsi="Arial"/>
          <w:sz w:val="20"/>
          <w:szCs w:val="20"/>
        </w:rPr>
        <w:t xml:space="preserve"> came in the 1st half of 2024 to RUB 178 million against RUB 195 million in the first half of 2023. The decrease in the loss was mainly due to exchange differences.</w:t>
      </w:r>
    </w:p>
    <w:p w14:paraId="46F87504" w14:textId="5E162CA0" w:rsidR="00415971" w:rsidRPr="00144431" w:rsidRDefault="00C704BD" w:rsidP="00A15713">
      <w:pPr>
        <w:spacing w:before="240" w:after="0"/>
        <w:jc w:val="both"/>
        <w:rPr>
          <w:i/>
          <w:iCs/>
          <w:color w:val="808080"/>
          <w:sz w:val="16"/>
          <w:szCs w:val="16"/>
          <w:u w:color="808080"/>
        </w:rPr>
      </w:pPr>
      <w:bookmarkStart w:id="4" w:name="_Hlk101541660"/>
      <w:r>
        <w:rPr>
          <w:rFonts w:ascii="Arial" w:hAnsi="Arial"/>
          <w:b/>
          <w:bCs/>
          <w:i/>
          <w:iCs/>
          <w:sz w:val="20"/>
          <w:szCs w:val="20"/>
        </w:rPr>
        <w:t>EBITDA before impairment and write-offs</w:t>
      </w:r>
      <w:r>
        <w:rPr>
          <w:rFonts w:ascii="Arial" w:hAnsi="Arial"/>
          <w:b/>
          <w:bCs/>
          <w:i/>
          <w:iCs/>
          <w:color w:val="808080"/>
          <w:sz w:val="20"/>
          <w:szCs w:val="20"/>
          <w:u w:color="808080"/>
        </w:rPr>
        <w:t xml:space="preserve"> </w:t>
      </w:r>
      <w:bookmarkEnd w:id="4"/>
      <w:r>
        <w:rPr>
          <w:rFonts w:ascii="Arial" w:hAnsi="Arial"/>
          <w:sz w:val="20"/>
          <w:szCs w:val="20"/>
        </w:rPr>
        <w:t>increased by 14.2% compared with the same period in 2023 to RUB 304 million. Net of the start-up expenses, EBITDA was RUB 328.5 million.</w:t>
      </w:r>
    </w:p>
    <w:p w14:paraId="44ADED53" w14:textId="77777777" w:rsidR="00415971" w:rsidRPr="00144431" w:rsidRDefault="008E6DD4">
      <w:pPr>
        <w:pStyle w:val="a7"/>
        <w:jc w:val="both"/>
        <w:rPr>
          <w:i/>
          <w:iCs/>
          <w:color w:val="808080"/>
          <w:sz w:val="16"/>
          <w:szCs w:val="16"/>
          <w:u w:color="808080"/>
        </w:rPr>
      </w:pPr>
      <w:r>
        <w:rPr>
          <w:i/>
          <w:iCs/>
          <w:color w:val="808080"/>
          <w:sz w:val="16"/>
          <w:szCs w:val="16"/>
          <w:u w:color="808080"/>
        </w:rPr>
        <w:t>____________________________________________________________________________________________________________</w:t>
      </w:r>
    </w:p>
    <w:p w14:paraId="5F765EF2" w14:textId="77777777" w:rsidR="00415971" w:rsidRPr="00770979" w:rsidRDefault="00415971">
      <w:pPr>
        <w:pStyle w:val="a7"/>
        <w:jc w:val="both"/>
        <w:rPr>
          <w:i/>
          <w:iCs/>
          <w:color w:val="808080"/>
          <w:sz w:val="16"/>
          <w:szCs w:val="16"/>
          <w:u w:color="808080"/>
          <w:lang w:val="en-US"/>
        </w:rPr>
      </w:pPr>
    </w:p>
    <w:p w14:paraId="5B2542ED" w14:textId="77777777" w:rsidR="00415971" w:rsidRPr="00144431" w:rsidRDefault="008E6DD4">
      <w:pPr>
        <w:pStyle w:val="a7"/>
        <w:jc w:val="both"/>
        <w:rPr>
          <w:i/>
          <w:iCs/>
          <w:color w:val="808080"/>
          <w:sz w:val="16"/>
          <w:szCs w:val="16"/>
          <w:u w:color="808080"/>
        </w:rPr>
      </w:pPr>
      <w:r>
        <w:rPr>
          <w:i/>
          <w:iCs/>
          <w:color w:val="808080"/>
          <w:sz w:val="16"/>
          <w:szCs w:val="16"/>
          <w:u w:color="808080"/>
          <w:vertAlign w:val="superscript"/>
        </w:rPr>
        <w:t>[1]</w:t>
      </w:r>
      <w:r>
        <w:rPr>
          <w:i/>
          <w:iCs/>
          <w:color w:val="808080"/>
          <w:sz w:val="16"/>
          <w:szCs w:val="16"/>
          <w:u w:color="808080"/>
        </w:rPr>
        <w:t xml:space="preserve"> Revenue in accordance with IFRS is the consolidated revenue of the Rosinter Group calculated in accordance with international financial reporting standards (net of VAT) and includes sales of restaurants and corporate cafes, as well as revenue from sub-lease of premises, revenue from franchising operations and other components.</w:t>
      </w:r>
    </w:p>
    <w:p w14:paraId="3F857635" w14:textId="77777777" w:rsidR="00415971" w:rsidRPr="00770979" w:rsidRDefault="00415971">
      <w:pPr>
        <w:pStyle w:val="a7"/>
        <w:jc w:val="both"/>
        <w:rPr>
          <w:i/>
          <w:iCs/>
          <w:color w:val="808080"/>
          <w:sz w:val="16"/>
          <w:szCs w:val="16"/>
          <w:u w:color="808080"/>
          <w:lang w:val="en-US"/>
        </w:rPr>
      </w:pPr>
    </w:p>
    <w:p w14:paraId="7E14AF9C" w14:textId="77777777" w:rsidR="00415971" w:rsidRPr="00144431" w:rsidRDefault="008E6DD4">
      <w:pPr>
        <w:spacing w:after="0" w:line="240" w:lineRule="auto"/>
        <w:jc w:val="both"/>
        <w:rPr>
          <w:rFonts w:ascii="Arial" w:eastAsia="Arial" w:hAnsi="Arial" w:cs="Arial"/>
          <w:i/>
          <w:iCs/>
          <w:color w:val="808080"/>
          <w:sz w:val="16"/>
          <w:szCs w:val="16"/>
          <w:u w:color="808080"/>
        </w:rPr>
      </w:pPr>
      <w:r>
        <w:rPr>
          <w:rFonts w:ascii="Arial" w:hAnsi="Arial"/>
          <w:i/>
          <w:iCs/>
          <w:color w:val="808080"/>
          <w:sz w:val="16"/>
          <w:szCs w:val="16"/>
          <w:u w:color="808080"/>
          <w:vertAlign w:val="superscript"/>
        </w:rPr>
        <w:t>[2]</w:t>
      </w:r>
      <w:r>
        <w:rPr>
          <w:rFonts w:ascii="Arial" w:hAnsi="Arial"/>
          <w:i/>
          <w:iCs/>
          <w:color w:val="808080"/>
          <w:sz w:val="16"/>
          <w:szCs w:val="16"/>
          <w:u w:color="808080"/>
        </w:rPr>
        <w:t xml:space="preserve"> EBITDA is calculated by adding back depreciation and amortization to profit from operating activities after impairment. EBITDA measures are not standard measures under IFRS and should not be considered as an alternative to the net profit, operating profit, operating cash flows or any other standard measures in accordance with IFRS. Our approach to calculating EBITDA may differ from the approach of other companies. </w:t>
      </w:r>
    </w:p>
    <w:p w14:paraId="7AA1E423" w14:textId="77777777" w:rsidR="00415971" w:rsidRPr="00144431" w:rsidRDefault="00415971">
      <w:pPr>
        <w:spacing w:after="0" w:line="240" w:lineRule="auto"/>
        <w:jc w:val="both"/>
        <w:rPr>
          <w:rFonts w:ascii="Arial" w:eastAsia="Arial" w:hAnsi="Arial" w:cs="Arial"/>
          <w:i/>
          <w:iCs/>
          <w:color w:val="808080"/>
          <w:sz w:val="16"/>
          <w:szCs w:val="16"/>
          <w:u w:color="808080"/>
        </w:rPr>
      </w:pPr>
    </w:p>
    <w:p w14:paraId="2FBA0548" w14:textId="77777777" w:rsidR="00415971" w:rsidRPr="00144431" w:rsidRDefault="008E6DD4">
      <w:pPr>
        <w:jc w:val="both"/>
        <w:rPr>
          <w:rFonts w:ascii="Arial" w:eastAsia="Arial" w:hAnsi="Arial" w:cs="Arial"/>
          <w:color w:val="808080"/>
          <w:sz w:val="18"/>
          <w:szCs w:val="18"/>
          <w:u w:color="808080"/>
        </w:rPr>
      </w:pPr>
      <w:r>
        <w:rPr>
          <w:rFonts w:ascii="Arial" w:hAnsi="Arial"/>
          <w:color w:val="808080"/>
          <w:sz w:val="18"/>
          <w:szCs w:val="18"/>
          <w:u w:color="808080"/>
        </w:rPr>
        <w:t>Information in this press release is based on "forward-looking statements", which include all statements other than statements of historical fact. Such forward-looking statements can be often identified by words such as “plans”, “believes”, “anticipates”, “expects”, “intends”, “estimates”, “will”, “may”, “required”, “should” and similar expressions. Such forward-looking statements involve known and unknown risks, uncertainties and other important factors beyond the Company's and/or its Management's control that could cause the actual results to be materially different from those expressed or implied by such forward-looking statements. Such forward-looking statements are based on numerous assumptions regarding the Company's present and future business strategies and the environment in which the Company will operate in the future. By their nature, forward-looking statements involve risks and uncertainties because they relate to events and depend on circumstances that may or may not occur in the future. These forward-looking statements speak only as at the date as of which they are made, and the Company and/or its Management does not intend and has no duty or obligation to supplement, amend, update or revise any of the forward-looking statements contained herein to reflect any change in events, conditions or circumstances on which any such statements are based. The information and opinions contained in this press release are only valid as at the date hereof and may be subsequently revised without notice of any kind and form.</w:t>
      </w:r>
    </w:p>
    <w:p w14:paraId="0E696AA9" w14:textId="77777777" w:rsidR="00415971" w:rsidRPr="00144431" w:rsidRDefault="008E6DD4">
      <w:pPr>
        <w:spacing w:before="120" w:after="120" w:line="240" w:lineRule="auto"/>
        <w:jc w:val="center"/>
        <w:rPr>
          <w:rFonts w:ascii="Arial" w:hAnsi="Arial"/>
          <w:color w:val="595959"/>
          <w:u w:color="595959"/>
        </w:rPr>
      </w:pPr>
      <w:r>
        <w:rPr>
          <w:rFonts w:ascii="Arial" w:hAnsi="Arial"/>
          <w:color w:val="595959"/>
          <w:u w:color="595959"/>
        </w:rPr>
        <w:t>*</w:t>
      </w:r>
      <w:r>
        <w:rPr>
          <w:rFonts w:ascii="Arial" w:hAnsi="Arial"/>
          <w:color w:val="595959"/>
          <w:u w:color="595959"/>
        </w:rPr>
        <w:tab/>
      </w:r>
      <w:r>
        <w:rPr>
          <w:rFonts w:ascii="Arial" w:hAnsi="Arial"/>
          <w:color w:val="595959"/>
          <w:u w:color="595959"/>
        </w:rPr>
        <w:tab/>
        <w:t>*</w:t>
      </w:r>
      <w:r>
        <w:rPr>
          <w:rFonts w:ascii="Arial" w:hAnsi="Arial"/>
          <w:color w:val="595959"/>
          <w:u w:color="595959"/>
        </w:rPr>
        <w:tab/>
      </w:r>
      <w:r>
        <w:rPr>
          <w:rFonts w:ascii="Arial" w:hAnsi="Arial"/>
          <w:color w:val="595959"/>
          <w:u w:color="595959"/>
        </w:rPr>
        <w:tab/>
        <w:t>*</w:t>
      </w:r>
    </w:p>
    <w:p w14:paraId="7D2D7E27" w14:textId="77777777" w:rsidR="00741E1A" w:rsidRPr="00144431" w:rsidRDefault="00741E1A" w:rsidP="00741E1A">
      <w:pPr>
        <w:autoSpaceDE w:val="0"/>
        <w:autoSpaceDN w:val="0"/>
        <w:adjustRightInd w:val="0"/>
        <w:rPr>
          <w:rFonts w:ascii="Arial" w:hAnsi="Arial"/>
          <w:b/>
          <w:bCs/>
          <w:color w:val="595959"/>
          <w:sz w:val="18"/>
          <w:szCs w:val="18"/>
          <w:u w:color="595959"/>
        </w:rPr>
      </w:pPr>
      <w:r>
        <w:rPr>
          <w:rFonts w:ascii="Arial" w:hAnsi="Arial"/>
          <w:b/>
          <w:bCs/>
          <w:color w:val="595959"/>
          <w:sz w:val="18"/>
          <w:szCs w:val="18"/>
          <w:u w:color="595959"/>
        </w:rPr>
        <w:t xml:space="preserve">Note to Editors: </w:t>
      </w:r>
    </w:p>
    <w:p w14:paraId="554D972D" w14:textId="7C014A39" w:rsidR="00741E1A" w:rsidRPr="00144431" w:rsidRDefault="00741E1A" w:rsidP="00741E1A">
      <w:pPr>
        <w:jc w:val="both"/>
        <w:rPr>
          <w:rFonts w:ascii="Arial" w:hAnsi="Arial"/>
          <w:color w:val="595959"/>
          <w:sz w:val="18"/>
          <w:szCs w:val="18"/>
          <w:u w:color="595959"/>
        </w:rPr>
      </w:pPr>
      <w:r>
        <w:rPr>
          <w:rFonts w:ascii="Arial" w:hAnsi="Arial"/>
          <w:color w:val="595959"/>
          <w:sz w:val="18"/>
          <w:szCs w:val="18"/>
          <w:u w:color="595959"/>
        </w:rPr>
        <w:t>As at 30 June 2024, Rosinter Restaurants Holding PJSC is a major casual dining restaurant operator in Russia, running as many as 200 retail outlets in 30 cities of Russia and CIS. The company develops its own brands IL Patio, Planet Sushi,</w:t>
      </w:r>
      <w:r>
        <w:rPr>
          <w:rFonts w:ascii="Arial" w:hAnsi="Arial"/>
          <w:color w:val="595959"/>
          <w:sz w:val="18"/>
          <w:szCs w:val="18"/>
          <w:u w:color="595959"/>
        </w:rPr>
        <w:cr/>
      </w:r>
      <w:r>
        <w:rPr>
          <w:rFonts w:ascii="Arial" w:hAnsi="Arial"/>
          <w:color w:val="595959"/>
          <w:sz w:val="18"/>
          <w:szCs w:val="18"/>
          <w:u w:color="595959"/>
        </w:rPr>
        <w:br/>
        <w:t>Shikari, American Bar &amp; Grill, Mama Russia, and Lalibela Coffee, and also operates under franchise agreements a chain of</w:t>
      </w:r>
      <w:r>
        <w:rPr>
          <w:rFonts w:ascii="Arial" w:hAnsi="Arial"/>
          <w:color w:val="595959"/>
          <w:sz w:val="18"/>
          <w:szCs w:val="18"/>
          <w:u w:color="595959"/>
        </w:rPr>
        <w:cr/>
      </w:r>
      <w:r>
        <w:rPr>
          <w:rFonts w:ascii="Arial" w:hAnsi="Arial"/>
          <w:color w:val="595959"/>
          <w:sz w:val="18"/>
          <w:szCs w:val="18"/>
          <w:u w:color="595959"/>
        </w:rPr>
        <w:br/>
        <w:t xml:space="preserve">TGI FRIDAYS restaurants and Vkusno i Tochka outlets at airports and railway stations in Russia. </w:t>
      </w:r>
    </w:p>
    <w:p w14:paraId="1CAD80AD" w14:textId="77777777" w:rsidR="00741E1A" w:rsidRPr="00144431" w:rsidRDefault="00741E1A" w:rsidP="00741E1A">
      <w:pPr>
        <w:pStyle w:val="Default"/>
        <w:jc w:val="both"/>
        <w:rPr>
          <w:rFonts w:eastAsia="Calibri" w:cs="Calibri"/>
          <w:color w:val="595959"/>
          <w:sz w:val="18"/>
          <w:szCs w:val="18"/>
          <w:u w:color="595959"/>
          <w:bdr w:val="nil"/>
        </w:rPr>
      </w:pPr>
      <w:r>
        <w:rPr>
          <w:color w:val="595959"/>
          <w:sz w:val="18"/>
          <w:szCs w:val="18"/>
          <w:u w:color="595959"/>
          <w:bdr w:val="nil"/>
        </w:rPr>
        <w:t xml:space="preserve">Rosinter Restaurants Holding is listed on the Moscow Exchange MICEX (www.moex.com) under the stock ticker ROST. </w:t>
      </w:r>
    </w:p>
    <w:p w14:paraId="472E32D5" w14:textId="77777777" w:rsidR="00741E1A" w:rsidRPr="00144431" w:rsidRDefault="00741E1A">
      <w:pPr>
        <w:spacing w:before="120" w:after="120" w:line="240" w:lineRule="auto"/>
        <w:jc w:val="center"/>
        <w:rPr>
          <w:rFonts w:ascii="Arial" w:eastAsia="Arial" w:hAnsi="Arial" w:cs="Arial"/>
          <w:color w:val="595959"/>
          <w:sz w:val="18"/>
          <w:szCs w:val="18"/>
          <w:u w:color="595959"/>
        </w:rPr>
      </w:pPr>
    </w:p>
    <w:tbl>
      <w:tblPr>
        <w:tblStyle w:val="TableNormal1"/>
        <w:tblW w:w="10042" w:type="dxa"/>
        <w:jc w:val="center"/>
        <w:shd w:val="clear" w:color="auto" w:fill="CED7E7"/>
        <w:tblLayout w:type="fixed"/>
        <w:tblLook w:val="04A0" w:firstRow="1" w:lastRow="0" w:firstColumn="1" w:lastColumn="0" w:noHBand="0" w:noVBand="1"/>
      </w:tblPr>
      <w:tblGrid>
        <w:gridCol w:w="5167"/>
        <w:gridCol w:w="4875"/>
      </w:tblGrid>
      <w:tr w:rsidR="00415971" w:rsidRPr="00144431" w14:paraId="5CBD045B" w14:textId="77777777" w:rsidTr="00741E1A">
        <w:trPr>
          <w:trHeight w:val="1553"/>
          <w:jc w:val="center"/>
        </w:trPr>
        <w:tc>
          <w:tcPr>
            <w:tcW w:w="5167" w:type="dxa"/>
            <w:shd w:val="clear" w:color="auto" w:fill="auto"/>
            <w:tcMar>
              <w:top w:w="80" w:type="dxa"/>
              <w:left w:w="80" w:type="dxa"/>
              <w:bottom w:w="80" w:type="dxa"/>
              <w:right w:w="80" w:type="dxa"/>
            </w:tcMar>
          </w:tcPr>
          <w:p w14:paraId="5260E1E1" w14:textId="77777777" w:rsidR="00415971" w:rsidRPr="00144431" w:rsidRDefault="008E6DD4">
            <w:pPr>
              <w:spacing w:after="0" w:line="240" w:lineRule="auto"/>
              <w:rPr>
                <w:rFonts w:ascii="Arial" w:eastAsia="Arial" w:hAnsi="Arial" w:cs="Arial"/>
                <w:color w:val="595959"/>
                <w:sz w:val="18"/>
                <w:szCs w:val="18"/>
                <w:u w:color="595959"/>
              </w:rPr>
            </w:pPr>
            <w:r>
              <w:rPr>
                <w:rFonts w:ascii="Arial" w:hAnsi="Arial"/>
                <w:b/>
                <w:bCs/>
                <w:color w:val="595959"/>
                <w:sz w:val="18"/>
                <w:szCs w:val="18"/>
                <w:u w:color="595959"/>
              </w:rPr>
              <w:t>Investors and analysts enquiries:</w:t>
            </w:r>
            <w:r>
              <w:rPr>
                <w:rFonts w:ascii="Arial" w:hAnsi="Arial"/>
                <w:color w:val="5F5F5F"/>
                <w:sz w:val="18"/>
                <w:szCs w:val="18"/>
                <w:u w:color="5F5F5F"/>
              </w:rPr>
              <w:t xml:space="preserve"> </w:t>
            </w:r>
          </w:p>
          <w:p w14:paraId="69C66009" w14:textId="77777777" w:rsidR="00415971" w:rsidRPr="00144431" w:rsidRDefault="00415971">
            <w:pPr>
              <w:spacing w:after="0" w:line="240" w:lineRule="auto"/>
              <w:rPr>
                <w:rFonts w:ascii="Arial" w:eastAsia="Arial" w:hAnsi="Arial" w:cs="Arial"/>
                <w:color w:val="5F5F5F"/>
                <w:sz w:val="18"/>
                <w:szCs w:val="18"/>
                <w:u w:color="5F5F5F"/>
              </w:rPr>
            </w:pPr>
          </w:p>
          <w:p w14:paraId="7A5F174D" w14:textId="77777777" w:rsidR="00415971" w:rsidRPr="00144431" w:rsidRDefault="008E6DD4">
            <w:pPr>
              <w:spacing w:after="0" w:line="240" w:lineRule="auto"/>
              <w:rPr>
                <w:rFonts w:ascii="Arial" w:eastAsia="Arial" w:hAnsi="Arial" w:cs="Arial"/>
                <w:color w:val="595959"/>
                <w:sz w:val="18"/>
                <w:szCs w:val="18"/>
                <w:u w:color="595959"/>
              </w:rPr>
            </w:pPr>
            <w:r>
              <w:rPr>
                <w:rFonts w:ascii="Arial" w:hAnsi="Arial"/>
                <w:b/>
                <w:bCs/>
                <w:color w:val="595959"/>
                <w:sz w:val="18"/>
                <w:szCs w:val="18"/>
                <w:u w:color="595959"/>
              </w:rPr>
              <w:t>Alexey Shorokhov</w:t>
            </w:r>
          </w:p>
          <w:p w14:paraId="2D0DE39A" w14:textId="77777777" w:rsidR="00415971" w:rsidRPr="00144431" w:rsidRDefault="008E6DD4">
            <w:pPr>
              <w:spacing w:after="0" w:line="240" w:lineRule="auto"/>
              <w:rPr>
                <w:rFonts w:ascii="Arial" w:eastAsia="Arial" w:hAnsi="Arial" w:cs="Arial"/>
                <w:color w:val="5F5F5F"/>
                <w:sz w:val="18"/>
                <w:szCs w:val="18"/>
                <w:u w:color="5F5F5F"/>
              </w:rPr>
            </w:pPr>
            <w:r>
              <w:rPr>
                <w:rFonts w:ascii="Arial" w:hAnsi="Arial"/>
                <w:color w:val="595959"/>
                <w:sz w:val="18"/>
                <w:szCs w:val="18"/>
                <w:u w:color="595959"/>
              </w:rPr>
              <w:t>CFO</w:t>
            </w:r>
          </w:p>
          <w:p w14:paraId="08E163E4" w14:textId="77777777" w:rsidR="00415971" w:rsidRPr="00144431" w:rsidRDefault="00415971">
            <w:pPr>
              <w:spacing w:after="0" w:line="240" w:lineRule="auto"/>
              <w:rPr>
                <w:rFonts w:ascii="Arial" w:eastAsia="Arial" w:hAnsi="Arial" w:cs="Arial"/>
                <w:b/>
                <w:bCs/>
                <w:color w:val="5F5F5F"/>
                <w:sz w:val="18"/>
                <w:szCs w:val="18"/>
                <w:u w:color="5F5F5F"/>
              </w:rPr>
            </w:pPr>
          </w:p>
          <w:p w14:paraId="49C1C63E" w14:textId="77777777" w:rsidR="00741E1A" w:rsidRPr="00144431" w:rsidRDefault="00D36D95" w:rsidP="00741E1A">
            <w:pPr>
              <w:spacing w:after="0" w:line="240" w:lineRule="auto"/>
              <w:rPr>
                <w:sz w:val="18"/>
                <w:szCs w:val="18"/>
              </w:rPr>
            </w:pPr>
            <w:hyperlink r:id="rId10" w:history="1">
              <w:r w:rsidR="005E37D1">
                <w:rPr>
                  <w:rStyle w:val="a3"/>
                  <w:rFonts w:ascii="Arial" w:hAnsi="Arial"/>
                  <w:sz w:val="18"/>
                  <w:szCs w:val="18"/>
                </w:rPr>
                <w:t>IR@rosinter.ru</w:t>
              </w:r>
            </w:hyperlink>
          </w:p>
        </w:tc>
        <w:tc>
          <w:tcPr>
            <w:tcW w:w="4875" w:type="dxa"/>
            <w:shd w:val="clear" w:color="auto" w:fill="auto"/>
            <w:tcMar>
              <w:top w:w="80" w:type="dxa"/>
              <w:left w:w="80" w:type="dxa"/>
              <w:bottom w:w="80" w:type="dxa"/>
              <w:right w:w="80" w:type="dxa"/>
            </w:tcMar>
          </w:tcPr>
          <w:p w14:paraId="29DF1D01" w14:textId="77777777" w:rsidR="00415971" w:rsidRPr="00B40FBF" w:rsidRDefault="008E6DD4" w:rsidP="00741E1A">
            <w:pPr>
              <w:spacing w:after="0" w:line="240" w:lineRule="auto"/>
              <w:rPr>
                <w:rFonts w:ascii="Arial" w:eastAsia="Arial" w:hAnsi="Arial" w:cs="Arial"/>
                <w:color w:val="5F5F5F"/>
                <w:sz w:val="18"/>
                <w:szCs w:val="18"/>
                <w:u w:color="5F5F5F"/>
                <w:lang w:val="fr-FR"/>
              </w:rPr>
            </w:pPr>
            <w:r w:rsidRPr="00B40FBF">
              <w:rPr>
                <w:rFonts w:ascii="Arial" w:hAnsi="Arial"/>
                <w:b/>
                <w:color w:val="5F5F5F"/>
                <w:sz w:val="18"/>
                <w:szCs w:val="18"/>
                <w:u w:color="5F5F5F"/>
                <w:lang w:val="fr-FR"/>
              </w:rPr>
              <w:t>Press enquiries:</w:t>
            </w:r>
          </w:p>
          <w:p w14:paraId="6F687917" w14:textId="77777777" w:rsidR="00415971" w:rsidRPr="00B40FBF" w:rsidRDefault="00415971" w:rsidP="00741E1A">
            <w:pPr>
              <w:spacing w:after="0" w:line="240" w:lineRule="auto"/>
              <w:rPr>
                <w:rFonts w:ascii="Arial" w:eastAsia="Arial" w:hAnsi="Arial" w:cs="Arial"/>
                <w:color w:val="5F5F5F"/>
                <w:sz w:val="18"/>
                <w:szCs w:val="18"/>
                <w:u w:color="5F5F5F"/>
                <w:lang w:val="fr-FR"/>
              </w:rPr>
            </w:pPr>
          </w:p>
          <w:p w14:paraId="15FA5D5F" w14:textId="77777777" w:rsidR="00415971" w:rsidRPr="00B40FBF" w:rsidRDefault="008E6DD4" w:rsidP="00741E1A">
            <w:pPr>
              <w:spacing w:after="0" w:line="240" w:lineRule="auto"/>
              <w:rPr>
                <w:rFonts w:ascii="Arial" w:eastAsia="Arial" w:hAnsi="Arial" w:cs="Arial"/>
                <w:b/>
                <w:bCs/>
                <w:color w:val="5F5F5F"/>
                <w:sz w:val="18"/>
                <w:szCs w:val="18"/>
                <w:u w:color="5F5F5F"/>
                <w:lang w:val="fr-FR"/>
              </w:rPr>
            </w:pPr>
            <w:r w:rsidRPr="00B40FBF">
              <w:rPr>
                <w:rFonts w:ascii="Arial" w:hAnsi="Arial"/>
                <w:b/>
                <w:bCs/>
                <w:color w:val="5F5F5F"/>
                <w:sz w:val="18"/>
                <w:szCs w:val="18"/>
                <w:u w:color="5F5F5F"/>
                <w:lang w:val="fr-FR"/>
              </w:rPr>
              <w:t xml:space="preserve">Tatyana Zotova </w:t>
            </w:r>
          </w:p>
          <w:p w14:paraId="40DCBC49" w14:textId="77777777" w:rsidR="00415971" w:rsidRPr="00B40FBF" w:rsidRDefault="008E6DD4" w:rsidP="00741E1A">
            <w:pPr>
              <w:spacing w:after="0" w:line="240" w:lineRule="auto"/>
              <w:rPr>
                <w:rFonts w:ascii="Arial" w:eastAsia="Arial" w:hAnsi="Arial" w:cs="Arial"/>
                <w:b/>
                <w:bCs/>
                <w:color w:val="5F5F5F"/>
                <w:sz w:val="18"/>
                <w:szCs w:val="18"/>
                <w:u w:color="5F5F5F"/>
                <w:lang w:val="fr-FR"/>
              </w:rPr>
            </w:pPr>
            <w:r w:rsidRPr="00B40FBF">
              <w:rPr>
                <w:rFonts w:ascii="Arial" w:hAnsi="Arial"/>
                <w:color w:val="595959"/>
                <w:sz w:val="18"/>
                <w:szCs w:val="18"/>
                <w:u w:color="595959"/>
                <w:lang w:val="fr-FR"/>
              </w:rPr>
              <w:t>PR Director</w:t>
            </w:r>
          </w:p>
          <w:p w14:paraId="6F300DE4" w14:textId="77777777" w:rsidR="00415971" w:rsidRPr="00B40FBF" w:rsidRDefault="00415971" w:rsidP="00741E1A">
            <w:pPr>
              <w:spacing w:after="0" w:line="240" w:lineRule="auto"/>
              <w:rPr>
                <w:rFonts w:ascii="Arial" w:eastAsia="Arial" w:hAnsi="Arial" w:cs="Arial"/>
                <w:color w:val="5F5F5F"/>
                <w:sz w:val="18"/>
                <w:szCs w:val="18"/>
                <w:u w:color="5F5F5F"/>
                <w:lang w:val="fr-FR"/>
              </w:rPr>
            </w:pPr>
          </w:p>
          <w:p w14:paraId="2191C7B6" w14:textId="77777777" w:rsidR="00415971" w:rsidRPr="00B40FBF" w:rsidRDefault="008E6DD4" w:rsidP="00741E1A">
            <w:pPr>
              <w:spacing w:after="0" w:line="240" w:lineRule="auto"/>
              <w:rPr>
                <w:rFonts w:ascii="Arial" w:eastAsia="Arial" w:hAnsi="Arial" w:cs="Arial"/>
                <w:color w:val="5F5F5F"/>
                <w:sz w:val="18"/>
                <w:szCs w:val="18"/>
                <w:u w:color="5F5F5F"/>
                <w:lang w:val="fr-FR"/>
              </w:rPr>
            </w:pPr>
            <w:r w:rsidRPr="00B40FBF">
              <w:rPr>
                <w:rFonts w:ascii="Arial" w:hAnsi="Arial"/>
                <w:color w:val="5F5F5F"/>
                <w:sz w:val="18"/>
                <w:szCs w:val="18"/>
                <w:u w:color="5F5F5F"/>
                <w:lang w:val="fr-FR"/>
              </w:rPr>
              <w:t xml:space="preserve">tzotova@rosinter.ru </w:t>
            </w:r>
          </w:p>
          <w:p w14:paraId="70A74989" w14:textId="77777777" w:rsidR="00415971" w:rsidRPr="00144431" w:rsidRDefault="008E6DD4" w:rsidP="00741E1A">
            <w:pPr>
              <w:spacing w:after="0" w:line="240" w:lineRule="auto"/>
              <w:rPr>
                <w:sz w:val="18"/>
                <w:szCs w:val="18"/>
              </w:rPr>
            </w:pPr>
            <w:r>
              <w:rPr>
                <w:rFonts w:ascii="Arial" w:hAnsi="Arial"/>
                <w:color w:val="5F5F5F"/>
                <w:sz w:val="18"/>
                <w:szCs w:val="18"/>
                <w:u w:color="5F5F5F"/>
              </w:rPr>
              <w:t>Tel: +7 495 788 44 88 ext. 1560</w:t>
            </w:r>
          </w:p>
        </w:tc>
      </w:tr>
    </w:tbl>
    <w:p w14:paraId="5A5CED00" w14:textId="77777777" w:rsidR="00051255" w:rsidRPr="00144431" w:rsidRDefault="00051255">
      <w:pPr>
        <w:spacing w:after="0" w:line="240" w:lineRule="auto"/>
        <w:rPr>
          <w:rFonts w:ascii="Arial" w:eastAsia="Arial" w:hAnsi="Arial" w:cs="Arial"/>
          <w:b/>
          <w:bCs/>
          <w:color w:val="595959"/>
          <w:sz w:val="18"/>
          <w:szCs w:val="18"/>
          <w:u w:val="single" w:color="595959"/>
        </w:rPr>
      </w:pPr>
      <w:r>
        <w:br w:type="page"/>
      </w:r>
    </w:p>
    <w:p w14:paraId="39FCFFF4" w14:textId="77777777" w:rsidR="00415971" w:rsidRPr="00144431" w:rsidRDefault="00415971">
      <w:pPr>
        <w:spacing w:after="0" w:line="240" w:lineRule="auto"/>
        <w:rPr>
          <w:rFonts w:ascii="Arial" w:eastAsia="Arial" w:hAnsi="Arial" w:cs="Arial"/>
          <w:b/>
          <w:bCs/>
          <w:color w:val="595959"/>
          <w:sz w:val="20"/>
          <w:szCs w:val="20"/>
          <w:u w:val="single" w:color="595959"/>
        </w:rPr>
      </w:pPr>
    </w:p>
    <w:p w14:paraId="39F3FD25" w14:textId="77777777" w:rsidR="00415971" w:rsidRPr="00144431" w:rsidRDefault="008E6DD4" w:rsidP="00794F9C">
      <w:pPr>
        <w:spacing w:after="20"/>
        <w:jc w:val="right"/>
        <w:rPr>
          <w:rFonts w:ascii="Arial" w:eastAsia="Arial" w:hAnsi="Arial" w:cs="Arial"/>
          <w:b/>
          <w:bCs/>
          <w:sz w:val="20"/>
          <w:szCs w:val="20"/>
        </w:rPr>
      </w:pPr>
      <w:r>
        <w:rPr>
          <w:rFonts w:ascii="Arial" w:hAnsi="Arial"/>
          <w:b/>
          <w:bCs/>
          <w:sz w:val="20"/>
          <w:szCs w:val="20"/>
        </w:rPr>
        <w:t>APPENDIX 1</w:t>
      </w:r>
    </w:p>
    <w:p w14:paraId="6043558C" w14:textId="77777777" w:rsidR="00415971" w:rsidRPr="00144431" w:rsidRDefault="00415971">
      <w:pPr>
        <w:spacing w:after="20"/>
        <w:rPr>
          <w:rFonts w:ascii="Arial" w:eastAsia="Arial" w:hAnsi="Arial" w:cs="Arial"/>
          <w:b/>
          <w:bCs/>
          <w:sz w:val="20"/>
          <w:szCs w:val="20"/>
        </w:rPr>
      </w:pPr>
    </w:p>
    <w:p w14:paraId="1235C549" w14:textId="63B9103F" w:rsidR="003226F4" w:rsidRPr="00144431" w:rsidRDefault="003226F4" w:rsidP="003226F4">
      <w:pPr>
        <w:pStyle w:val="ZX1CompanyName12"/>
        <w:jc w:val="center"/>
        <w:rPr>
          <w:i/>
          <w:sz w:val="12"/>
          <w:szCs w:val="12"/>
        </w:rPr>
      </w:pPr>
      <w:bookmarkStart w:id="5" w:name="OLE_LINK1"/>
      <w:r>
        <w:rPr>
          <w:rFonts w:ascii="Times New Roman" w:hAnsi="Times New Roman"/>
          <w:b w:val="0"/>
          <w:caps w:val="0"/>
          <w:sz w:val="28"/>
          <w:szCs w:val="28"/>
        </w:rPr>
        <w:t>Interim condensed consolidated statement of financial position (unaudited) as of 30 June 2024</w:t>
      </w:r>
    </w:p>
    <w:p w14:paraId="33DE4ACD" w14:textId="77777777" w:rsidR="00415971" w:rsidRPr="00144431" w:rsidRDefault="00415971">
      <w:pPr>
        <w:spacing w:after="0" w:line="240" w:lineRule="auto"/>
        <w:jc w:val="center"/>
        <w:rPr>
          <w:rFonts w:ascii="Times New Roman" w:eastAsia="Times New Roman" w:hAnsi="Times New Roman" w:cs="Times New Roman"/>
          <w:i/>
          <w:iCs/>
          <w:sz w:val="12"/>
          <w:szCs w:val="12"/>
        </w:rPr>
      </w:pPr>
    </w:p>
    <w:p w14:paraId="467C215B" w14:textId="04BDDBE9" w:rsidR="00247620" w:rsidRDefault="008E6DD4" w:rsidP="00AE6DE1">
      <w:pPr>
        <w:spacing w:after="0" w:line="240" w:lineRule="auto"/>
        <w:jc w:val="center"/>
        <w:rPr>
          <w:rFonts w:ascii="Times New Roman" w:hAnsi="Times New Roman"/>
          <w:i/>
          <w:iCs/>
        </w:rPr>
      </w:pPr>
      <w:r>
        <w:rPr>
          <w:rFonts w:ascii="Times New Roman" w:hAnsi="Times New Roman"/>
          <w:i/>
          <w:iCs/>
        </w:rPr>
        <w:t>(All amounts are in thousands of Russian roubles unless specified otherwise)</w:t>
      </w:r>
    </w:p>
    <w:p w14:paraId="02AA3A03" w14:textId="7883ADE7" w:rsidR="00BC0816" w:rsidRPr="00AE6DE1" w:rsidRDefault="00BC0816" w:rsidP="00AE6DE1">
      <w:pPr>
        <w:spacing w:after="0" w:line="240" w:lineRule="auto"/>
        <w:jc w:val="center"/>
        <w:rPr>
          <w:rFonts w:ascii="Times New Roman" w:hAnsi="Times New Roman"/>
          <w:i/>
          <w:iCs/>
        </w:rPr>
      </w:pPr>
      <w:r w:rsidRPr="00BC0816">
        <w:drawing>
          <wp:inline distT="0" distB="0" distL="0" distR="0" wp14:anchorId="29F4C520" wp14:editId="329E287A">
            <wp:extent cx="6166485" cy="75742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6485" cy="7574280"/>
                    </a:xfrm>
                    <a:prstGeom prst="rect">
                      <a:avLst/>
                    </a:prstGeom>
                    <a:noFill/>
                    <a:ln>
                      <a:noFill/>
                    </a:ln>
                  </pic:spPr>
                </pic:pic>
              </a:graphicData>
            </a:graphic>
          </wp:inline>
        </w:drawing>
      </w:r>
    </w:p>
    <w:bookmarkEnd w:id="5"/>
    <w:p w14:paraId="7BB7CA45" w14:textId="4D285425" w:rsidR="00415971" w:rsidRPr="00144431" w:rsidRDefault="00415971">
      <w:pPr>
        <w:spacing w:after="0" w:line="240" w:lineRule="auto"/>
        <w:jc w:val="center"/>
        <w:rPr>
          <w:rFonts w:ascii="Times New Roman" w:eastAsia="Times New Roman" w:hAnsi="Times New Roman" w:cs="Times New Roman"/>
          <w:i/>
          <w:iCs/>
          <w:sz w:val="12"/>
          <w:szCs w:val="12"/>
        </w:rPr>
      </w:pPr>
    </w:p>
    <w:p w14:paraId="1F30DB32" w14:textId="6EB37219" w:rsidR="009832D1" w:rsidRPr="00BC0816" w:rsidRDefault="00BB2023">
      <w:pPr>
        <w:spacing w:after="0" w:line="240" w:lineRule="auto"/>
        <w:rPr>
          <w:noProof/>
          <w:lang w:val="ru-RU"/>
        </w:rPr>
      </w:pPr>
      <w:r>
        <w:br w:type="page"/>
      </w:r>
    </w:p>
    <w:p w14:paraId="5022EED8" w14:textId="77777777" w:rsidR="00CB06E8" w:rsidRPr="00144431" w:rsidRDefault="00CB06E8" w:rsidP="00CB06E8">
      <w:pPr>
        <w:pStyle w:val="ZX1CompanyName12"/>
        <w:spacing w:before="120"/>
        <w:jc w:val="center"/>
        <w:rPr>
          <w:rFonts w:ascii="Times New Roman" w:hAnsi="Times New Roman"/>
          <w:b w:val="0"/>
          <w:caps w:val="0"/>
          <w:sz w:val="28"/>
          <w:szCs w:val="28"/>
        </w:rPr>
      </w:pPr>
      <w:r>
        <w:rPr>
          <w:rFonts w:ascii="Times New Roman" w:hAnsi="Times New Roman"/>
          <w:b w:val="0"/>
          <w:caps w:val="0"/>
          <w:sz w:val="28"/>
          <w:szCs w:val="28"/>
        </w:rPr>
        <w:lastRenderedPageBreak/>
        <w:t>Interim condensed consolidated statement of profit and loss (unaudited)</w:t>
      </w:r>
    </w:p>
    <w:p w14:paraId="6731B01B" w14:textId="6D4513D0" w:rsidR="00415971" w:rsidRPr="00144431" w:rsidRDefault="00CB06E8" w:rsidP="00CF7DED">
      <w:pPr>
        <w:pStyle w:val="ZX1CompanyName12"/>
        <w:spacing w:after="120"/>
        <w:jc w:val="center"/>
        <w:rPr>
          <w:rFonts w:ascii="Times New Roman" w:hAnsi="Times New Roman"/>
          <w:b w:val="0"/>
          <w:caps w:val="0"/>
          <w:sz w:val="28"/>
          <w:szCs w:val="28"/>
        </w:rPr>
      </w:pPr>
      <w:r>
        <w:rPr>
          <w:rFonts w:ascii="Times New Roman" w:hAnsi="Times New Roman"/>
          <w:b w:val="0"/>
          <w:caps w:val="0"/>
          <w:sz w:val="28"/>
          <w:szCs w:val="28"/>
        </w:rPr>
        <w:t>for</w:t>
      </w:r>
      <w:r w:rsidR="00B40FBF">
        <w:rPr>
          <w:rFonts w:ascii="Times New Roman" w:hAnsi="Times New Roman"/>
          <w:b w:val="0"/>
          <w:caps w:val="0"/>
          <w:sz w:val="28"/>
          <w:szCs w:val="28"/>
        </w:rPr>
        <w:t xml:space="preserve"> the</w:t>
      </w:r>
      <w:r>
        <w:rPr>
          <w:rFonts w:ascii="Times New Roman" w:hAnsi="Times New Roman"/>
          <w:b w:val="0"/>
          <w:caps w:val="0"/>
          <w:sz w:val="28"/>
          <w:szCs w:val="28"/>
        </w:rPr>
        <w:t xml:space="preserve"> six months ended 30 June 2024</w:t>
      </w:r>
    </w:p>
    <w:p w14:paraId="783DDB44" w14:textId="77777777" w:rsidR="00415971" w:rsidRPr="00144431" w:rsidRDefault="00415971">
      <w:pPr>
        <w:spacing w:after="0" w:line="240" w:lineRule="auto"/>
        <w:jc w:val="center"/>
        <w:rPr>
          <w:rFonts w:ascii="Times New Roman" w:eastAsia="Times New Roman" w:hAnsi="Times New Roman" w:cs="Times New Roman"/>
          <w:b/>
          <w:bCs/>
          <w:caps/>
          <w:sz w:val="16"/>
          <w:szCs w:val="16"/>
        </w:rPr>
      </w:pPr>
    </w:p>
    <w:p w14:paraId="557C76FF" w14:textId="7CEC0D4E" w:rsidR="00415971" w:rsidRPr="000E2051" w:rsidRDefault="008E6DD4" w:rsidP="000E2051">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22EDE7A9" w14:textId="41D63157" w:rsidR="00415971" w:rsidRPr="00144431" w:rsidRDefault="00415971" w:rsidP="00CF7743">
      <w:pPr>
        <w:spacing w:after="0" w:line="360" w:lineRule="auto"/>
        <w:ind w:left="220"/>
        <w:jc w:val="right"/>
        <w:rPr>
          <w:rFonts w:ascii="Times New Roman" w:eastAsia="Times New Roman" w:hAnsi="Times New Roman" w:cs="Times New Roman"/>
          <w:b/>
          <w:bCs/>
          <w:sz w:val="20"/>
          <w:szCs w:val="20"/>
        </w:rPr>
      </w:pPr>
    </w:p>
    <w:p w14:paraId="1BDCFBC3" w14:textId="55193038" w:rsidR="00415971" w:rsidRPr="00144431" w:rsidRDefault="00BC0816" w:rsidP="00BC0816">
      <w:pPr>
        <w:spacing w:after="0" w:line="240" w:lineRule="auto"/>
        <w:jc w:val="center"/>
      </w:pPr>
      <w:r w:rsidRPr="00BC0816">
        <w:drawing>
          <wp:inline distT="0" distB="0" distL="0" distR="0" wp14:anchorId="216BCFB3" wp14:editId="546F839E">
            <wp:extent cx="6120130" cy="529399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5293995"/>
                    </a:xfrm>
                    <a:prstGeom prst="rect">
                      <a:avLst/>
                    </a:prstGeom>
                    <a:noFill/>
                    <a:ln>
                      <a:noFill/>
                    </a:ln>
                  </pic:spPr>
                </pic:pic>
              </a:graphicData>
            </a:graphic>
          </wp:inline>
        </w:drawing>
      </w:r>
      <w:r w:rsidR="008E6DD4">
        <w:br w:type="page"/>
      </w:r>
    </w:p>
    <w:p w14:paraId="07B3389E" w14:textId="77777777" w:rsidR="003F37C1" w:rsidRPr="00144431" w:rsidRDefault="003F37C1" w:rsidP="003F37C1">
      <w:pPr>
        <w:pStyle w:val="ZX1CompanyName12"/>
        <w:spacing w:before="120"/>
        <w:jc w:val="center"/>
        <w:rPr>
          <w:b w:val="0"/>
          <w:sz w:val="28"/>
          <w:szCs w:val="28"/>
        </w:rPr>
      </w:pPr>
      <w:r>
        <w:rPr>
          <w:rFonts w:ascii="Times New Roman" w:hAnsi="Times New Roman"/>
          <w:b w:val="0"/>
          <w:caps w:val="0"/>
          <w:sz w:val="28"/>
          <w:szCs w:val="28"/>
        </w:rPr>
        <w:lastRenderedPageBreak/>
        <w:t>Interim condensed consolidated statement of cash flows (unaudited)</w:t>
      </w:r>
    </w:p>
    <w:p w14:paraId="018FB189" w14:textId="236ED122" w:rsidR="003F37C1" w:rsidRPr="00144431" w:rsidRDefault="003F37C1" w:rsidP="003F37C1">
      <w:pPr>
        <w:pStyle w:val="ZX1CompanyName12"/>
        <w:spacing w:after="120"/>
        <w:jc w:val="center"/>
        <w:rPr>
          <w:rFonts w:ascii="Times New Roman" w:hAnsi="Times New Roman"/>
          <w:b w:val="0"/>
          <w:caps w:val="0"/>
          <w:sz w:val="28"/>
          <w:szCs w:val="28"/>
        </w:rPr>
      </w:pPr>
      <w:r>
        <w:rPr>
          <w:rFonts w:ascii="Times New Roman" w:hAnsi="Times New Roman"/>
          <w:b w:val="0"/>
          <w:caps w:val="0"/>
          <w:sz w:val="28"/>
          <w:szCs w:val="28"/>
        </w:rPr>
        <w:t xml:space="preserve">for </w:t>
      </w:r>
      <w:r w:rsidR="00B40FBF">
        <w:rPr>
          <w:rFonts w:ascii="Times New Roman" w:hAnsi="Times New Roman"/>
          <w:b w:val="0"/>
          <w:caps w:val="0"/>
          <w:sz w:val="28"/>
          <w:szCs w:val="28"/>
        </w:rPr>
        <w:t xml:space="preserve">the </w:t>
      </w:r>
      <w:r>
        <w:rPr>
          <w:rFonts w:ascii="Times New Roman" w:hAnsi="Times New Roman"/>
          <w:b w:val="0"/>
          <w:caps w:val="0"/>
          <w:sz w:val="28"/>
          <w:szCs w:val="28"/>
        </w:rPr>
        <w:t>six months ended 30 June 2024</w:t>
      </w:r>
    </w:p>
    <w:p w14:paraId="009A87BA" w14:textId="77777777" w:rsidR="00415971" w:rsidRPr="00144431" w:rsidRDefault="00415971">
      <w:pPr>
        <w:spacing w:after="0" w:line="240" w:lineRule="auto"/>
        <w:jc w:val="center"/>
        <w:rPr>
          <w:rFonts w:ascii="Times New Roman" w:eastAsia="Times New Roman" w:hAnsi="Times New Roman" w:cs="Times New Roman"/>
          <w:sz w:val="16"/>
          <w:szCs w:val="16"/>
        </w:rPr>
      </w:pPr>
    </w:p>
    <w:p w14:paraId="43558B77" w14:textId="77777777" w:rsidR="00415971" w:rsidRPr="0014443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43D42F9A" w14:textId="6D746D9D" w:rsidR="00415971" w:rsidRPr="00BC0816" w:rsidRDefault="00BC0816">
      <w:pPr>
        <w:spacing w:after="0" w:line="240" w:lineRule="auto"/>
        <w:jc w:val="center"/>
        <w:rPr>
          <w:rFonts w:ascii="Times New Roman" w:eastAsia="Times New Roman" w:hAnsi="Times New Roman" w:cs="Times New Roman"/>
          <w:lang w:val="en-US"/>
        </w:rPr>
      </w:pPr>
      <w:r w:rsidRPr="00BC0816">
        <w:drawing>
          <wp:inline distT="0" distB="0" distL="0" distR="0" wp14:anchorId="7EDC38B2" wp14:editId="01C49428">
            <wp:extent cx="6120130" cy="595757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130" cy="5957570"/>
                    </a:xfrm>
                    <a:prstGeom prst="rect">
                      <a:avLst/>
                    </a:prstGeom>
                    <a:noFill/>
                    <a:ln>
                      <a:noFill/>
                    </a:ln>
                  </pic:spPr>
                </pic:pic>
              </a:graphicData>
            </a:graphic>
          </wp:inline>
        </w:drawing>
      </w:r>
    </w:p>
    <w:p w14:paraId="3E331098" w14:textId="3F3231F3" w:rsidR="00415971" w:rsidRPr="00144431" w:rsidRDefault="00415971">
      <w:pPr>
        <w:spacing w:after="0" w:line="240" w:lineRule="auto"/>
        <w:jc w:val="center"/>
        <w:rPr>
          <w:rFonts w:ascii="Times New Roman" w:eastAsia="Times New Roman" w:hAnsi="Times New Roman" w:cs="Times New Roman"/>
        </w:rPr>
      </w:pPr>
    </w:p>
    <w:p w14:paraId="48107567" w14:textId="45E8AAAF" w:rsidR="00415971" w:rsidRPr="00144431" w:rsidRDefault="00415971" w:rsidP="00CF7743">
      <w:pPr>
        <w:spacing w:after="0" w:line="240" w:lineRule="auto"/>
        <w:jc w:val="right"/>
        <w:rPr>
          <w:rFonts w:ascii="Arial" w:eastAsia="Arial" w:hAnsi="Arial" w:cs="Arial"/>
          <w:color w:val="808080"/>
          <w:sz w:val="18"/>
          <w:szCs w:val="18"/>
          <w:u w:color="808080"/>
        </w:rPr>
      </w:pPr>
    </w:p>
    <w:p w14:paraId="3A74D69F" w14:textId="77777777" w:rsidR="00415971" w:rsidRPr="00144431" w:rsidRDefault="008E6DD4">
      <w:pPr>
        <w:spacing w:after="0" w:line="240" w:lineRule="auto"/>
      </w:pPr>
      <w:r>
        <w:br w:type="page"/>
      </w:r>
    </w:p>
    <w:p w14:paraId="2F5A6250" w14:textId="77777777" w:rsidR="005A3EE2" w:rsidRPr="00144431" w:rsidRDefault="005A3EE2" w:rsidP="005A3EE2">
      <w:pPr>
        <w:pStyle w:val="ZX1CompanyName12"/>
        <w:spacing w:before="120"/>
        <w:jc w:val="center"/>
        <w:rPr>
          <w:b w:val="0"/>
          <w:sz w:val="28"/>
          <w:szCs w:val="28"/>
        </w:rPr>
      </w:pPr>
      <w:r>
        <w:rPr>
          <w:rFonts w:ascii="Times New Roman" w:hAnsi="Times New Roman"/>
          <w:b w:val="0"/>
          <w:caps w:val="0"/>
          <w:sz w:val="28"/>
          <w:szCs w:val="28"/>
        </w:rPr>
        <w:lastRenderedPageBreak/>
        <w:t>Interim condensed consolidated statement of cash flows (unaudited)</w:t>
      </w:r>
    </w:p>
    <w:p w14:paraId="397A54A7" w14:textId="49A6A434" w:rsidR="005A3EE2" w:rsidRPr="00144431" w:rsidRDefault="005A3EE2" w:rsidP="005A3EE2">
      <w:pPr>
        <w:pStyle w:val="ZX1CompanyName12"/>
        <w:spacing w:after="120"/>
        <w:jc w:val="center"/>
        <w:rPr>
          <w:rFonts w:ascii="Times New Roman" w:hAnsi="Times New Roman"/>
          <w:b w:val="0"/>
          <w:caps w:val="0"/>
          <w:sz w:val="28"/>
          <w:szCs w:val="28"/>
        </w:rPr>
      </w:pPr>
      <w:r>
        <w:rPr>
          <w:rFonts w:ascii="Times New Roman" w:hAnsi="Times New Roman"/>
          <w:b w:val="0"/>
          <w:caps w:val="0"/>
          <w:sz w:val="28"/>
          <w:szCs w:val="28"/>
        </w:rPr>
        <w:t xml:space="preserve">for </w:t>
      </w:r>
      <w:r w:rsidR="00B40FBF">
        <w:rPr>
          <w:rFonts w:ascii="Times New Roman" w:hAnsi="Times New Roman"/>
          <w:b w:val="0"/>
          <w:caps w:val="0"/>
          <w:sz w:val="28"/>
          <w:szCs w:val="28"/>
        </w:rPr>
        <w:t xml:space="preserve">the </w:t>
      </w:r>
      <w:r>
        <w:rPr>
          <w:rFonts w:ascii="Times New Roman" w:hAnsi="Times New Roman"/>
          <w:b w:val="0"/>
          <w:caps w:val="0"/>
          <w:sz w:val="28"/>
          <w:szCs w:val="28"/>
        </w:rPr>
        <w:t>six months ended 30 June 2024</w:t>
      </w:r>
    </w:p>
    <w:p w14:paraId="250E7059" w14:textId="77777777" w:rsidR="00415971" w:rsidRPr="00144431" w:rsidRDefault="00415971">
      <w:pPr>
        <w:spacing w:after="0" w:line="240" w:lineRule="auto"/>
        <w:jc w:val="center"/>
        <w:rPr>
          <w:rFonts w:ascii="Times New Roman" w:eastAsia="Times New Roman" w:hAnsi="Times New Roman" w:cs="Times New Roman"/>
          <w:sz w:val="28"/>
          <w:szCs w:val="28"/>
        </w:rPr>
      </w:pPr>
    </w:p>
    <w:p w14:paraId="35F8CC77" w14:textId="77777777" w:rsidR="00415971" w:rsidRPr="00144431" w:rsidRDefault="008E6DD4">
      <w:pPr>
        <w:spacing w:after="0" w:line="240" w:lineRule="auto"/>
        <w:jc w:val="center"/>
        <w:rPr>
          <w:rFonts w:ascii="Times New Roman" w:eastAsia="Times New Roman" w:hAnsi="Times New Roman" w:cs="Times New Roman"/>
          <w:i/>
          <w:iCs/>
        </w:rPr>
      </w:pPr>
      <w:r>
        <w:rPr>
          <w:rFonts w:ascii="Times New Roman" w:hAnsi="Times New Roman"/>
          <w:i/>
          <w:iCs/>
        </w:rPr>
        <w:t>(All amounts are in thousands of Russian roubles unless specified otherwise)</w:t>
      </w:r>
    </w:p>
    <w:p w14:paraId="24C8CBAC" w14:textId="69CA922B" w:rsidR="00415971" w:rsidRPr="00BC0816" w:rsidRDefault="00BC0816">
      <w:pPr>
        <w:spacing w:after="0" w:line="240" w:lineRule="auto"/>
        <w:jc w:val="center"/>
        <w:rPr>
          <w:rFonts w:ascii="Times New Roman" w:eastAsia="Times New Roman" w:hAnsi="Times New Roman" w:cs="Times New Roman"/>
          <w:sz w:val="28"/>
          <w:szCs w:val="28"/>
          <w:lang w:val="en-US"/>
        </w:rPr>
      </w:pPr>
      <w:r w:rsidRPr="00BC0816">
        <w:drawing>
          <wp:inline distT="0" distB="0" distL="0" distR="0" wp14:anchorId="29924511" wp14:editId="4962AE6E">
            <wp:extent cx="5940425" cy="38633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3863340"/>
                    </a:xfrm>
                    <a:prstGeom prst="rect">
                      <a:avLst/>
                    </a:prstGeom>
                    <a:noFill/>
                    <a:ln>
                      <a:noFill/>
                    </a:ln>
                  </pic:spPr>
                </pic:pic>
              </a:graphicData>
            </a:graphic>
          </wp:inline>
        </w:drawing>
      </w:r>
    </w:p>
    <w:p w14:paraId="463A422D" w14:textId="5F0B95D6" w:rsidR="00415971" w:rsidRPr="00762182" w:rsidRDefault="00415971" w:rsidP="003E6E7A">
      <w:pPr>
        <w:spacing w:after="0" w:line="240" w:lineRule="auto"/>
        <w:rPr>
          <w:rFonts w:ascii="Times New Roman" w:eastAsia="Times New Roman" w:hAnsi="Times New Roman" w:cs="Times New Roman"/>
          <w:sz w:val="20"/>
          <w:szCs w:val="20"/>
        </w:rPr>
      </w:pPr>
    </w:p>
    <w:p w14:paraId="44099722" w14:textId="77777777" w:rsidR="00415971" w:rsidRDefault="00415971" w:rsidP="00921B92">
      <w:pPr>
        <w:spacing w:after="0" w:line="240" w:lineRule="auto"/>
        <w:jc w:val="right"/>
      </w:pPr>
    </w:p>
    <w:sectPr w:rsidR="00415971">
      <w:headerReference w:type="default" r:id="rId15"/>
      <w:footerReference w:type="default" r:id="rId16"/>
      <w:pgSz w:w="11900" w:h="16840"/>
      <w:pgMar w:top="851" w:right="851" w:bottom="567"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FF26" w14:textId="77777777" w:rsidR="00D36D95" w:rsidRDefault="00D36D95">
      <w:pPr>
        <w:spacing w:after="0" w:line="240" w:lineRule="auto"/>
      </w:pPr>
      <w:r>
        <w:separator/>
      </w:r>
    </w:p>
  </w:endnote>
  <w:endnote w:type="continuationSeparator" w:id="0">
    <w:p w14:paraId="36350992" w14:textId="77777777" w:rsidR="00D36D95" w:rsidRDefault="00D3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Wingdings 3"/>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A6229" w14:textId="659AB8A3" w:rsidR="006333AD" w:rsidRDefault="006333AD">
    <w:pPr>
      <w:pStyle w:val="a5"/>
      <w:jc w:val="right"/>
    </w:pPr>
    <w:r>
      <w:fldChar w:fldCharType="begin"/>
    </w:r>
    <w:r>
      <w:instrText xml:space="preserve"> PAGE </w:instrText>
    </w:r>
    <w:r>
      <w:fldChar w:fldCharType="separate"/>
    </w:r>
    <w:r w:rsidR="00B40FBF">
      <w:rPr>
        <w:noProof/>
      </w:rPr>
      <w:t>8</w:t>
    </w:r>
    <w:r>
      <w:fldChar w:fldCharType="end"/>
    </w:r>
  </w:p>
  <w:p w14:paraId="56F4B6B4" w14:textId="77777777" w:rsidR="006333AD" w:rsidRDefault="006333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52B0" w14:textId="77777777" w:rsidR="00D36D95" w:rsidRDefault="00D36D95">
      <w:pPr>
        <w:spacing w:after="0" w:line="240" w:lineRule="auto"/>
      </w:pPr>
      <w:r>
        <w:separator/>
      </w:r>
    </w:p>
  </w:footnote>
  <w:footnote w:type="continuationSeparator" w:id="0">
    <w:p w14:paraId="0193140F" w14:textId="77777777" w:rsidR="00D36D95" w:rsidRDefault="00D36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CAD7" w14:textId="77777777" w:rsidR="006333AD" w:rsidRDefault="006333AD">
    <w:pPr>
      <w:pStyle w:val="a4"/>
      <w:jc w:val="center"/>
    </w:pPr>
    <w:r>
      <w:rPr>
        <w:rFonts w:ascii="Arial" w:hAnsi="Arial"/>
        <w:b/>
        <w:bCs/>
        <w:color w:val="333333"/>
        <w:sz w:val="18"/>
        <w:szCs w:val="18"/>
        <w:u w:color="333333"/>
      </w:rPr>
      <w:t>NOT TO BE RELEASED IN THE UNITED STATES OF AMERICA, AUSTRALIA, CANADA, OR JAPAN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485"/>
    <w:multiLevelType w:val="hybridMultilevel"/>
    <w:tmpl w:val="417CAF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5C5827"/>
    <w:multiLevelType w:val="hybridMultilevel"/>
    <w:tmpl w:val="5246A768"/>
    <w:numStyleLink w:val="1"/>
  </w:abstractNum>
  <w:abstractNum w:abstractNumId="2" w15:restartNumberingAfterBreak="0">
    <w:nsid w:val="190934D9"/>
    <w:multiLevelType w:val="hybridMultilevel"/>
    <w:tmpl w:val="5246A768"/>
    <w:styleLink w:val="1"/>
    <w:lvl w:ilvl="0" w:tplc="DEB674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099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98BF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50B4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EE23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249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4A77C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944DD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3E6C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FE2F0D"/>
    <w:multiLevelType w:val="hybridMultilevel"/>
    <w:tmpl w:val="8C620C4C"/>
    <w:styleLink w:val="2"/>
    <w:lvl w:ilvl="0" w:tplc="38E2C63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FCF61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3688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58B3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66B5E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8DE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CE90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CAA1A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F8862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F470B62"/>
    <w:multiLevelType w:val="hybridMultilevel"/>
    <w:tmpl w:val="DD1AC5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B66C34"/>
    <w:multiLevelType w:val="hybridMultilevel"/>
    <w:tmpl w:val="CC489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2A18F3"/>
    <w:multiLevelType w:val="hybridMultilevel"/>
    <w:tmpl w:val="30A4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E30A35"/>
    <w:multiLevelType w:val="hybridMultilevel"/>
    <w:tmpl w:val="8C620C4C"/>
    <w:numStyleLink w:val="2"/>
  </w:abstractNum>
  <w:num w:numId="1">
    <w:abstractNumId w:val="2"/>
  </w:num>
  <w:num w:numId="2">
    <w:abstractNumId w:val="1"/>
  </w:num>
  <w:num w:numId="3">
    <w:abstractNumId w:val="3"/>
  </w:num>
  <w:num w:numId="4">
    <w:abstractNumId w:val="7"/>
  </w:num>
  <w:num w:numId="5">
    <w:abstractNumId w:val="0"/>
  </w:num>
  <w:num w:numId="6">
    <w:abstractNumId w:val="6"/>
  </w:num>
  <w:num w:numId="7">
    <w:abstractNumId w:val="4"/>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971"/>
    <w:rsid w:val="000019BE"/>
    <w:rsid w:val="000051A5"/>
    <w:rsid w:val="000135D5"/>
    <w:rsid w:val="00013F0C"/>
    <w:rsid w:val="000173B1"/>
    <w:rsid w:val="00020EF9"/>
    <w:rsid w:val="00023E45"/>
    <w:rsid w:val="00032CCB"/>
    <w:rsid w:val="00035659"/>
    <w:rsid w:val="00042FD2"/>
    <w:rsid w:val="0004324B"/>
    <w:rsid w:val="000439AF"/>
    <w:rsid w:val="00045888"/>
    <w:rsid w:val="0004776F"/>
    <w:rsid w:val="00051255"/>
    <w:rsid w:val="000515B8"/>
    <w:rsid w:val="000638D3"/>
    <w:rsid w:val="0006744F"/>
    <w:rsid w:val="00067FE4"/>
    <w:rsid w:val="000722AF"/>
    <w:rsid w:val="00074B3B"/>
    <w:rsid w:val="0007710D"/>
    <w:rsid w:val="00082CBD"/>
    <w:rsid w:val="00090CFE"/>
    <w:rsid w:val="00093B2F"/>
    <w:rsid w:val="00095A5C"/>
    <w:rsid w:val="000A3837"/>
    <w:rsid w:val="000A3D38"/>
    <w:rsid w:val="000B46D9"/>
    <w:rsid w:val="000C0026"/>
    <w:rsid w:val="000C08FD"/>
    <w:rsid w:val="000C55AA"/>
    <w:rsid w:val="000D338B"/>
    <w:rsid w:val="000D78ED"/>
    <w:rsid w:val="000D7D1B"/>
    <w:rsid w:val="000E2051"/>
    <w:rsid w:val="000E292C"/>
    <w:rsid w:val="000E3100"/>
    <w:rsid w:val="000E4DC7"/>
    <w:rsid w:val="000E54BC"/>
    <w:rsid w:val="00103F0A"/>
    <w:rsid w:val="0011201C"/>
    <w:rsid w:val="00112611"/>
    <w:rsid w:val="001146B8"/>
    <w:rsid w:val="00115AB2"/>
    <w:rsid w:val="00121B0A"/>
    <w:rsid w:val="001258A4"/>
    <w:rsid w:val="00126087"/>
    <w:rsid w:val="001301AB"/>
    <w:rsid w:val="00135D65"/>
    <w:rsid w:val="00144431"/>
    <w:rsid w:val="001506DA"/>
    <w:rsid w:val="00154D1F"/>
    <w:rsid w:val="00155902"/>
    <w:rsid w:val="00163B65"/>
    <w:rsid w:val="00165BA1"/>
    <w:rsid w:val="00176785"/>
    <w:rsid w:val="001828CD"/>
    <w:rsid w:val="00182F0C"/>
    <w:rsid w:val="00183C78"/>
    <w:rsid w:val="00187BE4"/>
    <w:rsid w:val="00191360"/>
    <w:rsid w:val="00193EA9"/>
    <w:rsid w:val="00194DEB"/>
    <w:rsid w:val="00195397"/>
    <w:rsid w:val="0019660C"/>
    <w:rsid w:val="001970AA"/>
    <w:rsid w:val="001A2525"/>
    <w:rsid w:val="001A4FFC"/>
    <w:rsid w:val="001A681D"/>
    <w:rsid w:val="001B2375"/>
    <w:rsid w:val="001B7BCD"/>
    <w:rsid w:val="001C152C"/>
    <w:rsid w:val="001C369B"/>
    <w:rsid w:val="001C5712"/>
    <w:rsid w:val="001C5B59"/>
    <w:rsid w:val="001C6E47"/>
    <w:rsid w:val="001D01E0"/>
    <w:rsid w:val="001D0E18"/>
    <w:rsid w:val="001D1362"/>
    <w:rsid w:val="001D54A4"/>
    <w:rsid w:val="001D6C07"/>
    <w:rsid w:val="001E481F"/>
    <w:rsid w:val="001E6D9A"/>
    <w:rsid w:val="001F6292"/>
    <w:rsid w:val="001F706E"/>
    <w:rsid w:val="00212F22"/>
    <w:rsid w:val="002165A2"/>
    <w:rsid w:val="002172FE"/>
    <w:rsid w:val="002216ED"/>
    <w:rsid w:val="002241C2"/>
    <w:rsid w:val="00227AC6"/>
    <w:rsid w:val="00227D68"/>
    <w:rsid w:val="00235441"/>
    <w:rsid w:val="00247620"/>
    <w:rsid w:val="00250E85"/>
    <w:rsid w:val="0025144E"/>
    <w:rsid w:val="00253D21"/>
    <w:rsid w:val="002541F6"/>
    <w:rsid w:val="002542ED"/>
    <w:rsid w:val="00260676"/>
    <w:rsid w:val="0026451B"/>
    <w:rsid w:val="002650CA"/>
    <w:rsid w:val="00265382"/>
    <w:rsid w:val="00271263"/>
    <w:rsid w:val="0027590C"/>
    <w:rsid w:val="00276B10"/>
    <w:rsid w:val="002770DD"/>
    <w:rsid w:val="00277DD5"/>
    <w:rsid w:val="00281358"/>
    <w:rsid w:val="00290998"/>
    <w:rsid w:val="0029343B"/>
    <w:rsid w:val="00294E78"/>
    <w:rsid w:val="0029564F"/>
    <w:rsid w:val="002A404E"/>
    <w:rsid w:val="002A6EA2"/>
    <w:rsid w:val="002A7C04"/>
    <w:rsid w:val="002B04B4"/>
    <w:rsid w:val="002B20D2"/>
    <w:rsid w:val="002B279C"/>
    <w:rsid w:val="002C43B8"/>
    <w:rsid w:val="002D1003"/>
    <w:rsid w:val="002D17FE"/>
    <w:rsid w:val="002E45C3"/>
    <w:rsid w:val="002E49EF"/>
    <w:rsid w:val="002E4EF2"/>
    <w:rsid w:val="002F2899"/>
    <w:rsid w:val="002F5C06"/>
    <w:rsid w:val="00303FED"/>
    <w:rsid w:val="003046E3"/>
    <w:rsid w:val="00304831"/>
    <w:rsid w:val="003106B0"/>
    <w:rsid w:val="003117AA"/>
    <w:rsid w:val="0032177F"/>
    <w:rsid w:val="003226F4"/>
    <w:rsid w:val="0032293E"/>
    <w:rsid w:val="00324F75"/>
    <w:rsid w:val="00326A88"/>
    <w:rsid w:val="00327856"/>
    <w:rsid w:val="003306BF"/>
    <w:rsid w:val="003309B2"/>
    <w:rsid w:val="0033233E"/>
    <w:rsid w:val="00332626"/>
    <w:rsid w:val="00337395"/>
    <w:rsid w:val="00340117"/>
    <w:rsid w:val="0034144C"/>
    <w:rsid w:val="003433E7"/>
    <w:rsid w:val="00343D88"/>
    <w:rsid w:val="00345083"/>
    <w:rsid w:val="00345A58"/>
    <w:rsid w:val="00345B11"/>
    <w:rsid w:val="003468C3"/>
    <w:rsid w:val="0035089A"/>
    <w:rsid w:val="00350C66"/>
    <w:rsid w:val="003556FC"/>
    <w:rsid w:val="00361CA1"/>
    <w:rsid w:val="00363F19"/>
    <w:rsid w:val="00366BF8"/>
    <w:rsid w:val="00367672"/>
    <w:rsid w:val="0037352F"/>
    <w:rsid w:val="0038085A"/>
    <w:rsid w:val="00382F03"/>
    <w:rsid w:val="00386002"/>
    <w:rsid w:val="0038628D"/>
    <w:rsid w:val="00392E84"/>
    <w:rsid w:val="00394CC1"/>
    <w:rsid w:val="00395F8A"/>
    <w:rsid w:val="00395FC7"/>
    <w:rsid w:val="0039760A"/>
    <w:rsid w:val="003A59D1"/>
    <w:rsid w:val="003A5E77"/>
    <w:rsid w:val="003B228F"/>
    <w:rsid w:val="003B560E"/>
    <w:rsid w:val="003B6913"/>
    <w:rsid w:val="003B70B5"/>
    <w:rsid w:val="003C33E1"/>
    <w:rsid w:val="003C5E05"/>
    <w:rsid w:val="003D0595"/>
    <w:rsid w:val="003E017F"/>
    <w:rsid w:val="003E0454"/>
    <w:rsid w:val="003E1EF1"/>
    <w:rsid w:val="003E4440"/>
    <w:rsid w:val="003E5485"/>
    <w:rsid w:val="003E6E7A"/>
    <w:rsid w:val="003E73F7"/>
    <w:rsid w:val="003F30BE"/>
    <w:rsid w:val="003F37C1"/>
    <w:rsid w:val="00400289"/>
    <w:rsid w:val="004008F9"/>
    <w:rsid w:val="004018A6"/>
    <w:rsid w:val="004022E0"/>
    <w:rsid w:val="004072D7"/>
    <w:rsid w:val="0041199E"/>
    <w:rsid w:val="00411A27"/>
    <w:rsid w:val="004128A4"/>
    <w:rsid w:val="0041467C"/>
    <w:rsid w:val="00415971"/>
    <w:rsid w:val="00415AB4"/>
    <w:rsid w:val="0041705C"/>
    <w:rsid w:val="00420539"/>
    <w:rsid w:val="00421182"/>
    <w:rsid w:val="004212B5"/>
    <w:rsid w:val="00421A53"/>
    <w:rsid w:val="004274E7"/>
    <w:rsid w:val="004354AA"/>
    <w:rsid w:val="00443DC8"/>
    <w:rsid w:val="00446FEE"/>
    <w:rsid w:val="004509CA"/>
    <w:rsid w:val="00451D7D"/>
    <w:rsid w:val="00463B3F"/>
    <w:rsid w:val="0046421E"/>
    <w:rsid w:val="00465F58"/>
    <w:rsid w:val="00470F5C"/>
    <w:rsid w:val="0047214C"/>
    <w:rsid w:val="00472F0D"/>
    <w:rsid w:val="00473F1C"/>
    <w:rsid w:val="004744B3"/>
    <w:rsid w:val="00486F21"/>
    <w:rsid w:val="0049098E"/>
    <w:rsid w:val="00493532"/>
    <w:rsid w:val="004936F2"/>
    <w:rsid w:val="00493B53"/>
    <w:rsid w:val="004947DA"/>
    <w:rsid w:val="004A1486"/>
    <w:rsid w:val="004A2B91"/>
    <w:rsid w:val="004A33B5"/>
    <w:rsid w:val="004A6CED"/>
    <w:rsid w:val="004B3868"/>
    <w:rsid w:val="004B4946"/>
    <w:rsid w:val="004B6AEF"/>
    <w:rsid w:val="004B6F51"/>
    <w:rsid w:val="004B7CB4"/>
    <w:rsid w:val="004C0B59"/>
    <w:rsid w:val="004C2633"/>
    <w:rsid w:val="004C4392"/>
    <w:rsid w:val="004C4471"/>
    <w:rsid w:val="004C5CF4"/>
    <w:rsid w:val="004C635B"/>
    <w:rsid w:val="004D778F"/>
    <w:rsid w:val="004E0361"/>
    <w:rsid w:val="004E0B02"/>
    <w:rsid w:val="004E1A25"/>
    <w:rsid w:val="004E21A6"/>
    <w:rsid w:val="004E4540"/>
    <w:rsid w:val="004E6AAF"/>
    <w:rsid w:val="004F2652"/>
    <w:rsid w:val="004F6534"/>
    <w:rsid w:val="004F75A8"/>
    <w:rsid w:val="005010FA"/>
    <w:rsid w:val="00501311"/>
    <w:rsid w:val="00506423"/>
    <w:rsid w:val="005074AE"/>
    <w:rsid w:val="005145FE"/>
    <w:rsid w:val="005148D7"/>
    <w:rsid w:val="00515CFF"/>
    <w:rsid w:val="0052309F"/>
    <w:rsid w:val="005235C2"/>
    <w:rsid w:val="00526842"/>
    <w:rsid w:val="00530887"/>
    <w:rsid w:val="0053124E"/>
    <w:rsid w:val="005324AC"/>
    <w:rsid w:val="0053718C"/>
    <w:rsid w:val="00545D7F"/>
    <w:rsid w:val="005469D7"/>
    <w:rsid w:val="00547B8F"/>
    <w:rsid w:val="005504D5"/>
    <w:rsid w:val="005510F1"/>
    <w:rsid w:val="00561E77"/>
    <w:rsid w:val="00562EBE"/>
    <w:rsid w:val="0056506F"/>
    <w:rsid w:val="0057188B"/>
    <w:rsid w:val="005729F9"/>
    <w:rsid w:val="00573DD1"/>
    <w:rsid w:val="00577FE4"/>
    <w:rsid w:val="00582CCD"/>
    <w:rsid w:val="00584341"/>
    <w:rsid w:val="005877E5"/>
    <w:rsid w:val="00587F82"/>
    <w:rsid w:val="005906ED"/>
    <w:rsid w:val="00590EB2"/>
    <w:rsid w:val="00591780"/>
    <w:rsid w:val="00591A4F"/>
    <w:rsid w:val="00592045"/>
    <w:rsid w:val="00592B0F"/>
    <w:rsid w:val="00595CE1"/>
    <w:rsid w:val="005A030A"/>
    <w:rsid w:val="005A2735"/>
    <w:rsid w:val="005A2CAB"/>
    <w:rsid w:val="005A3EE2"/>
    <w:rsid w:val="005B1811"/>
    <w:rsid w:val="005C168E"/>
    <w:rsid w:val="005C3168"/>
    <w:rsid w:val="005C3997"/>
    <w:rsid w:val="005D3004"/>
    <w:rsid w:val="005D38F0"/>
    <w:rsid w:val="005D44B7"/>
    <w:rsid w:val="005D64E3"/>
    <w:rsid w:val="005D7328"/>
    <w:rsid w:val="005E2649"/>
    <w:rsid w:val="005E37D1"/>
    <w:rsid w:val="005E5859"/>
    <w:rsid w:val="005F1A9A"/>
    <w:rsid w:val="005F29BB"/>
    <w:rsid w:val="005F43A7"/>
    <w:rsid w:val="005F6921"/>
    <w:rsid w:val="005F6E26"/>
    <w:rsid w:val="00600FE4"/>
    <w:rsid w:val="006014A7"/>
    <w:rsid w:val="00603E99"/>
    <w:rsid w:val="006055F0"/>
    <w:rsid w:val="00605BDF"/>
    <w:rsid w:val="0060625B"/>
    <w:rsid w:val="006103AD"/>
    <w:rsid w:val="006105CE"/>
    <w:rsid w:val="006148BE"/>
    <w:rsid w:val="006249DE"/>
    <w:rsid w:val="0062703E"/>
    <w:rsid w:val="006333AD"/>
    <w:rsid w:val="006363EC"/>
    <w:rsid w:val="00641304"/>
    <w:rsid w:val="006428D7"/>
    <w:rsid w:val="00645841"/>
    <w:rsid w:val="00646560"/>
    <w:rsid w:val="00652420"/>
    <w:rsid w:val="006541EA"/>
    <w:rsid w:val="00654FF8"/>
    <w:rsid w:val="006566BD"/>
    <w:rsid w:val="00657769"/>
    <w:rsid w:val="00663416"/>
    <w:rsid w:val="0066406F"/>
    <w:rsid w:val="00667FD4"/>
    <w:rsid w:val="00671BE1"/>
    <w:rsid w:val="00673822"/>
    <w:rsid w:val="00673ADA"/>
    <w:rsid w:val="00676E4C"/>
    <w:rsid w:val="006906B8"/>
    <w:rsid w:val="00691D9A"/>
    <w:rsid w:val="00695332"/>
    <w:rsid w:val="006A373D"/>
    <w:rsid w:val="006A48FC"/>
    <w:rsid w:val="006A6F97"/>
    <w:rsid w:val="006A7466"/>
    <w:rsid w:val="006A7E4F"/>
    <w:rsid w:val="006B1308"/>
    <w:rsid w:val="006B1D8F"/>
    <w:rsid w:val="006B3E32"/>
    <w:rsid w:val="006B43B9"/>
    <w:rsid w:val="006B4D75"/>
    <w:rsid w:val="006B5D7B"/>
    <w:rsid w:val="006B6CCF"/>
    <w:rsid w:val="006C0C47"/>
    <w:rsid w:val="006C3BAC"/>
    <w:rsid w:val="006D5391"/>
    <w:rsid w:val="006E7204"/>
    <w:rsid w:val="006F1C1A"/>
    <w:rsid w:val="00702523"/>
    <w:rsid w:val="00712E64"/>
    <w:rsid w:val="00714B83"/>
    <w:rsid w:val="0071572D"/>
    <w:rsid w:val="007300EC"/>
    <w:rsid w:val="0073110F"/>
    <w:rsid w:val="00736F1D"/>
    <w:rsid w:val="00740B07"/>
    <w:rsid w:val="00740E1C"/>
    <w:rsid w:val="00741E1A"/>
    <w:rsid w:val="00742939"/>
    <w:rsid w:val="0074693C"/>
    <w:rsid w:val="00753A0F"/>
    <w:rsid w:val="00753A1A"/>
    <w:rsid w:val="00756E93"/>
    <w:rsid w:val="007574E2"/>
    <w:rsid w:val="00762182"/>
    <w:rsid w:val="00765C2F"/>
    <w:rsid w:val="0077018E"/>
    <w:rsid w:val="00770979"/>
    <w:rsid w:val="00773715"/>
    <w:rsid w:val="007757F7"/>
    <w:rsid w:val="00782024"/>
    <w:rsid w:val="0078641C"/>
    <w:rsid w:val="00786878"/>
    <w:rsid w:val="007902BC"/>
    <w:rsid w:val="00790BA9"/>
    <w:rsid w:val="0079177F"/>
    <w:rsid w:val="0079219F"/>
    <w:rsid w:val="00793F38"/>
    <w:rsid w:val="00794F9C"/>
    <w:rsid w:val="00796A45"/>
    <w:rsid w:val="007A677C"/>
    <w:rsid w:val="007A7523"/>
    <w:rsid w:val="007C4233"/>
    <w:rsid w:val="007C500E"/>
    <w:rsid w:val="007D6D7B"/>
    <w:rsid w:val="007D7EF7"/>
    <w:rsid w:val="007E132F"/>
    <w:rsid w:val="007E15A6"/>
    <w:rsid w:val="008015FC"/>
    <w:rsid w:val="00803110"/>
    <w:rsid w:val="008035FF"/>
    <w:rsid w:val="00804C61"/>
    <w:rsid w:val="0081326F"/>
    <w:rsid w:val="0081404A"/>
    <w:rsid w:val="00816292"/>
    <w:rsid w:val="008209F1"/>
    <w:rsid w:val="0082712D"/>
    <w:rsid w:val="00832D86"/>
    <w:rsid w:val="00834CD7"/>
    <w:rsid w:val="00835D6A"/>
    <w:rsid w:val="00842460"/>
    <w:rsid w:val="0085000B"/>
    <w:rsid w:val="00861C19"/>
    <w:rsid w:val="00865993"/>
    <w:rsid w:val="00865DF5"/>
    <w:rsid w:val="00866690"/>
    <w:rsid w:val="0087372D"/>
    <w:rsid w:val="00880C11"/>
    <w:rsid w:val="00881D9C"/>
    <w:rsid w:val="0088310A"/>
    <w:rsid w:val="0088326B"/>
    <w:rsid w:val="00883338"/>
    <w:rsid w:val="008868B1"/>
    <w:rsid w:val="00886D5D"/>
    <w:rsid w:val="00894CE3"/>
    <w:rsid w:val="008A0722"/>
    <w:rsid w:val="008A16FA"/>
    <w:rsid w:val="008A3915"/>
    <w:rsid w:val="008A57F9"/>
    <w:rsid w:val="008B371D"/>
    <w:rsid w:val="008B3B95"/>
    <w:rsid w:val="008C637D"/>
    <w:rsid w:val="008C753B"/>
    <w:rsid w:val="008D417A"/>
    <w:rsid w:val="008D48DC"/>
    <w:rsid w:val="008D56E0"/>
    <w:rsid w:val="008D7E4A"/>
    <w:rsid w:val="008E43AA"/>
    <w:rsid w:val="008E6DD4"/>
    <w:rsid w:val="008E76EF"/>
    <w:rsid w:val="008F48C2"/>
    <w:rsid w:val="00900DB5"/>
    <w:rsid w:val="00904444"/>
    <w:rsid w:val="00907181"/>
    <w:rsid w:val="00911E89"/>
    <w:rsid w:val="00917825"/>
    <w:rsid w:val="00917BBB"/>
    <w:rsid w:val="00921B92"/>
    <w:rsid w:val="00922A1D"/>
    <w:rsid w:val="0092342D"/>
    <w:rsid w:val="0092349D"/>
    <w:rsid w:val="009257CE"/>
    <w:rsid w:val="0092659A"/>
    <w:rsid w:val="00931E77"/>
    <w:rsid w:val="0093706C"/>
    <w:rsid w:val="00937B24"/>
    <w:rsid w:val="00941931"/>
    <w:rsid w:val="00944334"/>
    <w:rsid w:val="00945BAF"/>
    <w:rsid w:val="00947F17"/>
    <w:rsid w:val="00950251"/>
    <w:rsid w:val="00954434"/>
    <w:rsid w:val="00955E28"/>
    <w:rsid w:val="00971F22"/>
    <w:rsid w:val="00976001"/>
    <w:rsid w:val="009832D1"/>
    <w:rsid w:val="00985229"/>
    <w:rsid w:val="00986D7B"/>
    <w:rsid w:val="00995838"/>
    <w:rsid w:val="009A262D"/>
    <w:rsid w:val="009A7470"/>
    <w:rsid w:val="009B21E6"/>
    <w:rsid w:val="009C01DE"/>
    <w:rsid w:val="009C1B1F"/>
    <w:rsid w:val="009C1C7F"/>
    <w:rsid w:val="009C43B0"/>
    <w:rsid w:val="009C5671"/>
    <w:rsid w:val="009C692C"/>
    <w:rsid w:val="009D2BB8"/>
    <w:rsid w:val="009D36F1"/>
    <w:rsid w:val="009D4905"/>
    <w:rsid w:val="009D6841"/>
    <w:rsid w:val="009D7C92"/>
    <w:rsid w:val="009E21C1"/>
    <w:rsid w:val="009E4E73"/>
    <w:rsid w:val="009F020E"/>
    <w:rsid w:val="009F523B"/>
    <w:rsid w:val="009F705D"/>
    <w:rsid w:val="00A014B9"/>
    <w:rsid w:val="00A048B6"/>
    <w:rsid w:val="00A04A01"/>
    <w:rsid w:val="00A0720C"/>
    <w:rsid w:val="00A15713"/>
    <w:rsid w:val="00A1644D"/>
    <w:rsid w:val="00A174AF"/>
    <w:rsid w:val="00A20740"/>
    <w:rsid w:val="00A21CB6"/>
    <w:rsid w:val="00A22A9A"/>
    <w:rsid w:val="00A22E89"/>
    <w:rsid w:val="00A24D57"/>
    <w:rsid w:val="00A27A24"/>
    <w:rsid w:val="00A30D97"/>
    <w:rsid w:val="00A3240F"/>
    <w:rsid w:val="00A35F91"/>
    <w:rsid w:val="00A363FF"/>
    <w:rsid w:val="00A365D3"/>
    <w:rsid w:val="00A37E00"/>
    <w:rsid w:val="00A40ACB"/>
    <w:rsid w:val="00A42AE9"/>
    <w:rsid w:val="00A44627"/>
    <w:rsid w:val="00A4733B"/>
    <w:rsid w:val="00A5080E"/>
    <w:rsid w:val="00A5431E"/>
    <w:rsid w:val="00A61FDB"/>
    <w:rsid w:val="00A643B4"/>
    <w:rsid w:val="00A65B9B"/>
    <w:rsid w:val="00A6636E"/>
    <w:rsid w:val="00A67658"/>
    <w:rsid w:val="00A730FA"/>
    <w:rsid w:val="00A75321"/>
    <w:rsid w:val="00A7639A"/>
    <w:rsid w:val="00A80BAC"/>
    <w:rsid w:val="00A86562"/>
    <w:rsid w:val="00A8780E"/>
    <w:rsid w:val="00A91C18"/>
    <w:rsid w:val="00A926D7"/>
    <w:rsid w:val="00A937F4"/>
    <w:rsid w:val="00AA1691"/>
    <w:rsid w:val="00AA59E6"/>
    <w:rsid w:val="00AA5BE0"/>
    <w:rsid w:val="00AA6AEA"/>
    <w:rsid w:val="00AA7C80"/>
    <w:rsid w:val="00AB09BC"/>
    <w:rsid w:val="00AB2168"/>
    <w:rsid w:val="00AB3A94"/>
    <w:rsid w:val="00AB7550"/>
    <w:rsid w:val="00AB7CD9"/>
    <w:rsid w:val="00AC0ACB"/>
    <w:rsid w:val="00AC0C9C"/>
    <w:rsid w:val="00AC110D"/>
    <w:rsid w:val="00AC1D37"/>
    <w:rsid w:val="00AC70F2"/>
    <w:rsid w:val="00AD01BF"/>
    <w:rsid w:val="00AD0A70"/>
    <w:rsid w:val="00AD0C80"/>
    <w:rsid w:val="00AD3768"/>
    <w:rsid w:val="00AD5B73"/>
    <w:rsid w:val="00AE3B7E"/>
    <w:rsid w:val="00AE596B"/>
    <w:rsid w:val="00AE5B3D"/>
    <w:rsid w:val="00AE680A"/>
    <w:rsid w:val="00AE6DE1"/>
    <w:rsid w:val="00AE6EE9"/>
    <w:rsid w:val="00AE7404"/>
    <w:rsid w:val="00AF573C"/>
    <w:rsid w:val="00AF622D"/>
    <w:rsid w:val="00B000EF"/>
    <w:rsid w:val="00B004DC"/>
    <w:rsid w:val="00B0188C"/>
    <w:rsid w:val="00B03DED"/>
    <w:rsid w:val="00B04033"/>
    <w:rsid w:val="00B04ED4"/>
    <w:rsid w:val="00B14171"/>
    <w:rsid w:val="00B15CD3"/>
    <w:rsid w:val="00B179ED"/>
    <w:rsid w:val="00B2109E"/>
    <w:rsid w:val="00B232A7"/>
    <w:rsid w:val="00B31C20"/>
    <w:rsid w:val="00B35E34"/>
    <w:rsid w:val="00B40FBF"/>
    <w:rsid w:val="00B43619"/>
    <w:rsid w:val="00B46F86"/>
    <w:rsid w:val="00B5095F"/>
    <w:rsid w:val="00B52F1D"/>
    <w:rsid w:val="00B547DD"/>
    <w:rsid w:val="00B57226"/>
    <w:rsid w:val="00B628B6"/>
    <w:rsid w:val="00B6556C"/>
    <w:rsid w:val="00B65D20"/>
    <w:rsid w:val="00B710AB"/>
    <w:rsid w:val="00B72042"/>
    <w:rsid w:val="00B832A2"/>
    <w:rsid w:val="00B860F8"/>
    <w:rsid w:val="00B87006"/>
    <w:rsid w:val="00B90D9F"/>
    <w:rsid w:val="00B91715"/>
    <w:rsid w:val="00B91FB6"/>
    <w:rsid w:val="00B95EF6"/>
    <w:rsid w:val="00B97CC6"/>
    <w:rsid w:val="00BA10FA"/>
    <w:rsid w:val="00BA222F"/>
    <w:rsid w:val="00BA4554"/>
    <w:rsid w:val="00BA4EA4"/>
    <w:rsid w:val="00BB2023"/>
    <w:rsid w:val="00BB20A8"/>
    <w:rsid w:val="00BB2426"/>
    <w:rsid w:val="00BB3CE1"/>
    <w:rsid w:val="00BC0816"/>
    <w:rsid w:val="00BC088C"/>
    <w:rsid w:val="00BC2215"/>
    <w:rsid w:val="00BC2FAA"/>
    <w:rsid w:val="00BD2B2F"/>
    <w:rsid w:val="00BD7B37"/>
    <w:rsid w:val="00BE1BC1"/>
    <w:rsid w:val="00BE38B2"/>
    <w:rsid w:val="00BE78F4"/>
    <w:rsid w:val="00BE7B79"/>
    <w:rsid w:val="00BF0B4C"/>
    <w:rsid w:val="00BF1FF3"/>
    <w:rsid w:val="00BF5E94"/>
    <w:rsid w:val="00C03072"/>
    <w:rsid w:val="00C0796E"/>
    <w:rsid w:val="00C07AFE"/>
    <w:rsid w:val="00C172F7"/>
    <w:rsid w:val="00C22993"/>
    <w:rsid w:val="00C236AA"/>
    <w:rsid w:val="00C24409"/>
    <w:rsid w:val="00C264C6"/>
    <w:rsid w:val="00C27983"/>
    <w:rsid w:val="00C3161F"/>
    <w:rsid w:val="00C33C40"/>
    <w:rsid w:val="00C3540E"/>
    <w:rsid w:val="00C37ACC"/>
    <w:rsid w:val="00C460FC"/>
    <w:rsid w:val="00C47256"/>
    <w:rsid w:val="00C5260B"/>
    <w:rsid w:val="00C52C8D"/>
    <w:rsid w:val="00C54E5E"/>
    <w:rsid w:val="00C554E2"/>
    <w:rsid w:val="00C561CD"/>
    <w:rsid w:val="00C56B02"/>
    <w:rsid w:val="00C644CA"/>
    <w:rsid w:val="00C662CA"/>
    <w:rsid w:val="00C67703"/>
    <w:rsid w:val="00C704BD"/>
    <w:rsid w:val="00C7140E"/>
    <w:rsid w:val="00C74064"/>
    <w:rsid w:val="00C74C2F"/>
    <w:rsid w:val="00C75131"/>
    <w:rsid w:val="00C76B0D"/>
    <w:rsid w:val="00C83172"/>
    <w:rsid w:val="00C850CB"/>
    <w:rsid w:val="00C943C3"/>
    <w:rsid w:val="00C95450"/>
    <w:rsid w:val="00C97D64"/>
    <w:rsid w:val="00CA4494"/>
    <w:rsid w:val="00CA5907"/>
    <w:rsid w:val="00CA6F19"/>
    <w:rsid w:val="00CB0627"/>
    <w:rsid w:val="00CB06E8"/>
    <w:rsid w:val="00CB08C6"/>
    <w:rsid w:val="00CC1A84"/>
    <w:rsid w:val="00CC5BC2"/>
    <w:rsid w:val="00CD3F74"/>
    <w:rsid w:val="00CE1A72"/>
    <w:rsid w:val="00CE44B8"/>
    <w:rsid w:val="00CE4511"/>
    <w:rsid w:val="00CE7DB4"/>
    <w:rsid w:val="00CF15AA"/>
    <w:rsid w:val="00CF57D8"/>
    <w:rsid w:val="00CF6675"/>
    <w:rsid w:val="00CF72F5"/>
    <w:rsid w:val="00CF7743"/>
    <w:rsid w:val="00CF7DED"/>
    <w:rsid w:val="00D05B78"/>
    <w:rsid w:val="00D05C6A"/>
    <w:rsid w:val="00D05E09"/>
    <w:rsid w:val="00D12724"/>
    <w:rsid w:val="00D12D44"/>
    <w:rsid w:val="00D15BEC"/>
    <w:rsid w:val="00D164EC"/>
    <w:rsid w:val="00D174C8"/>
    <w:rsid w:val="00D23B6F"/>
    <w:rsid w:val="00D27487"/>
    <w:rsid w:val="00D321FD"/>
    <w:rsid w:val="00D32BF9"/>
    <w:rsid w:val="00D36D95"/>
    <w:rsid w:val="00D44430"/>
    <w:rsid w:val="00D448F8"/>
    <w:rsid w:val="00D46740"/>
    <w:rsid w:val="00D47463"/>
    <w:rsid w:val="00D5054F"/>
    <w:rsid w:val="00D52719"/>
    <w:rsid w:val="00D539AE"/>
    <w:rsid w:val="00D6052B"/>
    <w:rsid w:val="00D60869"/>
    <w:rsid w:val="00D60E4B"/>
    <w:rsid w:val="00D65EC8"/>
    <w:rsid w:val="00D758A4"/>
    <w:rsid w:val="00D7592C"/>
    <w:rsid w:val="00D878F2"/>
    <w:rsid w:val="00D9352E"/>
    <w:rsid w:val="00D93B39"/>
    <w:rsid w:val="00D947FA"/>
    <w:rsid w:val="00DB0CF3"/>
    <w:rsid w:val="00DB1536"/>
    <w:rsid w:val="00DB6D4A"/>
    <w:rsid w:val="00DD6E5E"/>
    <w:rsid w:val="00DE4FBD"/>
    <w:rsid w:val="00DF01C0"/>
    <w:rsid w:val="00DF2809"/>
    <w:rsid w:val="00DF2B40"/>
    <w:rsid w:val="00DF38C7"/>
    <w:rsid w:val="00DF5D13"/>
    <w:rsid w:val="00DF6840"/>
    <w:rsid w:val="00E04556"/>
    <w:rsid w:val="00E07FDF"/>
    <w:rsid w:val="00E13AEC"/>
    <w:rsid w:val="00E13EE7"/>
    <w:rsid w:val="00E1577C"/>
    <w:rsid w:val="00E20852"/>
    <w:rsid w:val="00E20B8B"/>
    <w:rsid w:val="00E22AFB"/>
    <w:rsid w:val="00E23042"/>
    <w:rsid w:val="00E25F17"/>
    <w:rsid w:val="00E31894"/>
    <w:rsid w:val="00E32260"/>
    <w:rsid w:val="00E33D80"/>
    <w:rsid w:val="00E348BA"/>
    <w:rsid w:val="00E42CA9"/>
    <w:rsid w:val="00E46AFA"/>
    <w:rsid w:val="00E47001"/>
    <w:rsid w:val="00E50655"/>
    <w:rsid w:val="00E549F5"/>
    <w:rsid w:val="00E55045"/>
    <w:rsid w:val="00E579E4"/>
    <w:rsid w:val="00E610A5"/>
    <w:rsid w:val="00E671A9"/>
    <w:rsid w:val="00E67770"/>
    <w:rsid w:val="00E75FB1"/>
    <w:rsid w:val="00E77077"/>
    <w:rsid w:val="00E80EAB"/>
    <w:rsid w:val="00E912AE"/>
    <w:rsid w:val="00EA0C89"/>
    <w:rsid w:val="00EA1952"/>
    <w:rsid w:val="00EA2127"/>
    <w:rsid w:val="00EB4A62"/>
    <w:rsid w:val="00EC30BF"/>
    <w:rsid w:val="00EC77E5"/>
    <w:rsid w:val="00ED020B"/>
    <w:rsid w:val="00ED2F7E"/>
    <w:rsid w:val="00EE57B0"/>
    <w:rsid w:val="00EF2D29"/>
    <w:rsid w:val="00F01EE6"/>
    <w:rsid w:val="00F0563C"/>
    <w:rsid w:val="00F06089"/>
    <w:rsid w:val="00F07FF1"/>
    <w:rsid w:val="00F113D2"/>
    <w:rsid w:val="00F11A55"/>
    <w:rsid w:val="00F12345"/>
    <w:rsid w:val="00F223ED"/>
    <w:rsid w:val="00F224B6"/>
    <w:rsid w:val="00F22B55"/>
    <w:rsid w:val="00F25413"/>
    <w:rsid w:val="00F26686"/>
    <w:rsid w:val="00F26D66"/>
    <w:rsid w:val="00F2712E"/>
    <w:rsid w:val="00F32A5B"/>
    <w:rsid w:val="00F344E9"/>
    <w:rsid w:val="00F42BFA"/>
    <w:rsid w:val="00F446EF"/>
    <w:rsid w:val="00F46628"/>
    <w:rsid w:val="00F500E7"/>
    <w:rsid w:val="00F54755"/>
    <w:rsid w:val="00F5494F"/>
    <w:rsid w:val="00F54EEE"/>
    <w:rsid w:val="00F55BE7"/>
    <w:rsid w:val="00F564BF"/>
    <w:rsid w:val="00F5737C"/>
    <w:rsid w:val="00F62940"/>
    <w:rsid w:val="00F63DDF"/>
    <w:rsid w:val="00F70D42"/>
    <w:rsid w:val="00F72960"/>
    <w:rsid w:val="00F742DF"/>
    <w:rsid w:val="00F74944"/>
    <w:rsid w:val="00F75790"/>
    <w:rsid w:val="00F77E0E"/>
    <w:rsid w:val="00F820C5"/>
    <w:rsid w:val="00F82B9D"/>
    <w:rsid w:val="00F854B9"/>
    <w:rsid w:val="00F8781B"/>
    <w:rsid w:val="00F87FB2"/>
    <w:rsid w:val="00F90C30"/>
    <w:rsid w:val="00F91E4F"/>
    <w:rsid w:val="00F9432C"/>
    <w:rsid w:val="00F958FF"/>
    <w:rsid w:val="00FA391A"/>
    <w:rsid w:val="00FA5DD0"/>
    <w:rsid w:val="00FA5F67"/>
    <w:rsid w:val="00FB2F94"/>
    <w:rsid w:val="00FC0563"/>
    <w:rsid w:val="00FC2172"/>
    <w:rsid w:val="00FC57BD"/>
    <w:rsid w:val="00FD02EC"/>
    <w:rsid w:val="00FD0B8D"/>
    <w:rsid w:val="00FD50B4"/>
    <w:rsid w:val="00FE3D49"/>
    <w:rsid w:val="00FE7A07"/>
    <w:rsid w:val="00FF0C69"/>
    <w:rsid w:val="00FF35D6"/>
    <w:rsid w:val="00FF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989B"/>
  <w15:docId w15:val="{63F27C13-1C9B-4B74-A0CD-F4A9A4D1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a4">
    <w:name w:val="header"/>
    <w:pPr>
      <w:tabs>
        <w:tab w:val="center" w:pos="4677"/>
        <w:tab w:val="right" w:pos="9355"/>
      </w:tabs>
      <w:spacing w:after="200" w:line="276" w:lineRule="auto"/>
    </w:pPr>
    <w:rPr>
      <w:rFonts w:ascii="Calibri" w:hAnsi="Calibri" w:cs="Arial Unicode MS"/>
      <w:color w:val="000000"/>
      <w:sz w:val="22"/>
      <w:szCs w:val="22"/>
      <w:u w:color="000000"/>
    </w:rPr>
  </w:style>
  <w:style w:type="paragraph" w:styleId="a5">
    <w:name w:val="footer"/>
    <w:pPr>
      <w:tabs>
        <w:tab w:val="center" w:pos="4677"/>
        <w:tab w:val="right" w:pos="9355"/>
      </w:tabs>
      <w:spacing w:after="200" w:line="276" w:lineRule="auto"/>
    </w:pPr>
    <w:rPr>
      <w:rFonts w:ascii="Calibri" w:eastAsia="Calibri" w:hAnsi="Calibri" w:cs="Calibri"/>
      <w:color w:val="000000"/>
      <w:sz w:val="22"/>
      <w:szCs w:val="22"/>
      <w:u w:color="000000"/>
    </w:rPr>
  </w:style>
  <w:style w:type="paragraph" w:styleId="a6">
    <w:name w:val="List Paragraph"/>
    <w:uiPriority w:val="34"/>
    <w:qFormat/>
    <w:pPr>
      <w:ind w:left="720"/>
      <w:jc w:val="both"/>
    </w:pPr>
    <w:rPr>
      <w:rFonts w:eastAsia="Times New Roman"/>
      <w:color w:val="000000"/>
      <w:sz w:val="22"/>
      <w:szCs w:val="22"/>
      <w:u w:color="000000"/>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paragraph" w:styleId="a7">
    <w:name w:val="footnote text"/>
    <w:link w:val="a8"/>
    <w:uiPriority w:val="99"/>
    <w:rPr>
      <w:rFonts w:ascii="Arial" w:eastAsia="Arial" w:hAnsi="Arial" w:cs="Arial"/>
      <w:color w:val="000000"/>
      <w:u w:color="000000"/>
    </w:rPr>
  </w:style>
  <w:style w:type="paragraph" w:customStyle="1" w:styleId="ZX1CompanyName12">
    <w:name w:val="ZX_1CompanyName_12"/>
    <w:uiPriority w:val="99"/>
    <w:rPr>
      <w:rFonts w:ascii="Arial" w:eastAsia="Arial" w:hAnsi="Arial" w:cs="Arial"/>
      <w:b/>
      <w:bCs/>
      <w:caps/>
      <w:color w:val="000000"/>
      <w:sz w:val="24"/>
      <w:szCs w:val="24"/>
      <w:u w:color="000000"/>
    </w:rPr>
  </w:style>
  <w:style w:type="character" w:styleId="a9">
    <w:name w:val="annotation reference"/>
    <w:basedOn w:val="a0"/>
    <w:uiPriority w:val="99"/>
    <w:semiHidden/>
    <w:unhideWhenUsed/>
    <w:rsid w:val="00A61FDB"/>
    <w:rPr>
      <w:sz w:val="16"/>
      <w:szCs w:val="16"/>
    </w:rPr>
  </w:style>
  <w:style w:type="paragraph" w:styleId="aa">
    <w:name w:val="annotation text"/>
    <w:basedOn w:val="a"/>
    <w:link w:val="ab"/>
    <w:uiPriority w:val="99"/>
    <w:unhideWhenUsed/>
    <w:rsid w:val="00A61FDB"/>
    <w:pPr>
      <w:spacing w:line="240" w:lineRule="auto"/>
    </w:pPr>
    <w:rPr>
      <w:sz w:val="20"/>
      <w:szCs w:val="20"/>
    </w:rPr>
  </w:style>
  <w:style w:type="character" w:customStyle="1" w:styleId="ab">
    <w:name w:val="Текст примечания Знак"/>
    <w:basedOn w:val="a0"/>
    <w:link w:val="aa"/>
    <w:uiPriority w:val="99"/>
    <w:rsid w:val="00A61FDB"/>
    <w:rPr>
      <w:rFonts w:ascii="Calibri" w:eastAsia="Calibri" w:hAnsi="Calibri" w:cs="Calibri"/>
      <w:color w:val="000000"/>
      <w:u w:color="000000"/>
    </w:rPr>
  </w:style>
  <w:style w:type="paragraph" w:styleId="ac">
    <w:name w:val="annotation subject"/>
    <w:basedOn w:val="aa"/>
    <w:next w:val="aa"/>
    <w:link w:val="ad"/>
    <w:uiPriority w:val="99"/>
    <w:semiHidden/>
    <w:unhideWhenUsed/>
    <w:rsid w:val="00A61FDB"/>
    <w:rPr>
      <w:b/>
      <w:bCs/>
    </w:rPr>
  </w:style>
  <w:style w:type="character" w:customStyle="1" w:styleId="ad">
    <w:name w:val="Тема примечания Знак"/>
    <w:basedOn w:val="ab"/>
    <w:link w:val="ac"/>
    <w:uiPriority w:val="99"/>
    <w:semiHidden/>
    <w:rsid w:val="00A61FDB"/>
    <w:rPr>
      <w:rFonts w:ascii="Calibri" w:eastAsia="Calibri" w:hAnsi="Calibri" w:cs="Calibri"/>
      <w:b/>
      <w:bCs/>
      <w:color w:val="000000"/>
      <w:u w:color="000000"/>
    </w:rPr>
  </w:style>
  <w:style w:type="paragraph" w:styleId="ae">
    <w:name w:val="Revision"/>
    <w:hidden/>
    <w:uiPriority w:val="99"/>
    <w:semiHidden/>
    <w:rsid w:val="001D54A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f">
    <w:name w:val="Balloon Text"/>
    <w:basedOn w:val="a"/>
    <w:link w:val="af0"/>
    <w:uiPriority w:val="99"/>
    <w:semiHidden/>
    <w:unhideWhenUsed/>
    <w:rsid w:val="000E54B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54BC"/>
    <w:rPr>
      <w:rFonts w:ascii="Tahoma" w:eastAsia="Calibri" w:hAnsi="Tahoma" w:cs="Tahoma"/>
      <w:color w:val="000000"/>
      <w:sz w:val="16"/>
      <w:szCs w:val="16"/>
      <w:u w:color="000000"/>
    </w:rPr>
  </w:style>
  <w:style w:type="paragraph" w:customStyle="1" w:styleId="Default">
    <w:name w:val="Default"/>
    <w:rsid w:val="00DB0C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body">
    <w:name w:val="body"/>
    <w:basedOn w:val="a"/>
    <w:rsid w:val="00EC30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10">
    <w:name w:val="Неразрешенное упоминание1"/>
    <w:basedOn w:val="a0"/>
    <w:uiPriority w:val="99"/>
    <w:semiHidden/>
    <w:unhideWhenUsed/>
    <w:rsid w:val="00741E1A"/>
    <w:rPr>
      <w:color w:val="605E5C"/>
      <w:shd w:val="clear" w:color="auto" w:fill="E1DFDD"/>
    </w:rPr>
  </w:style>
  <w:style w:type="character" w:customStyle="1" w:styleId="a8">
    <w:name w:val="Текст сноски Знак"/>
    <w:link w:val="a7"/>
    <w:uiPriority w:val="99"/>
    <w:rsid w:val="00B628B6"/>
    <w:rPr>
      <w:rFonts w:ascii="Arial" w:eastAsia="Arial" w:hAnsi="Arial" w:cs="Arial"/>
      <w:color w:val="000000"/>
      <w:u w:color="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662">
      <w:bodyDiv w:val="1"/>
      <w:marLeft w:val="0"/>
      <w:marRight w:val="0"/>
      <w:marTop w:val="0"/>
      <w:marBottom w:val="0"/>
      <w:divBdr>
        <w:top w:val="none" w:sz="0" w:space="0" w:color="auto"/>
        <w:left w:val="none" w:sz="0" w:space="0" w:color="auto"/>
        <w:bottom w:val="none" w:sz="0" w:space="0" w:color="auto"/>
        <w:right w:val="none" w:sz="0" w:space="0" w:color="auto"/>
      </w:divBdr>
    </w:div>
    <w:div w:id="20132424">
      <w:bodyDiv w:val="1"/>
      <w:marLeft w:val="0"/>
      <w:marRight w:val="0"/>
      <w:marTop w:val="0"/>
      <w:marBottom w:val="0"/>
      <w:divBdr>
        <w:top w:val="none" w:sz="0" w:space="0" w:color="auto"/>
        <w:left w:val="none" w:sz="0" w:space="0" w:color="auto"/>
        <w:bottom w:val="none" w:sz="0" w:space="0" w:color="auto"/>
        <w:right w:val="none" w:sz="0" w:space="0" w:color="auto"/>
      </w:divBdr>
    </w:div>
    <w:div w:id="91320343">
      <w:bodyDiv w:val="1"/>
      <w:marLeft w:val="0"/>
      <w:marRight w:val="0"/>
      <w:marTop w:val="0"/>
      <w:marBottom w:val="0"/>
      <w:divBdr>
        <w:top w:val="none" w:sz="0" w:space="0" w:color="auto"/>
        <w:left w:val="none" w:sz="0" w:space="0" w:color="auto"/>
        <w:bottom w:val="none" w:sz="0" w:space="0" w:color="auto"/>
        <w:right w:val="none" w:sz="0" w:space="0" w:color="auto"/>
      </w:divBdr>
    </w:div>
    <w:div w:id="526453153">
      <w:bodyDiv w:val="1"/>
      <w:marLeft w:val="0"/>
      <w:marRight w:val="0"/>
      <w:marTop w:val="0"/>
      <w:marBottom w:val="0"/>
      <w:divBdr>
        <w:top w:val="none" w:sz="0" w:space="0" w:color="auto"/>
        <w:left w:val="none" w:sz="0" w:space="0" w:color="auto"/>
        <w:bottom w:val="none" w:sz="0" w:space="0" w:color="auto"/>
        <w:right w:val="none" w:sz="0" w:space="0" w:color="auto"/>
      </w:divBdr>
    </w:div>
    <w:div w:id="744764239">
      <w:bodyDiv w:val="1"/>
      <w:marLeft w:val="0"/>
      <w:marRight w:val="0"/>
      <w:marTop w:val="0"/>
      <w:marBottom w:val="0"/>
      <w:divBdr>
        <w:top w:val="none" w:sz="0" w:space="0" w:color="auto"/>
        <w:left w:val="none" w:sz="0" w:space="0" w:color="auto"/>
        <w:bottom w:val="none" w:sz="0" w:space="0" w:color="auto"/>
        <w:right w:val="none" w:sz="0" w:space="0" w:color="auto"/>
      </w:divBdr>
    </w:div>
    <w:div w:id="790978381">
      <w:bodyDiv w:val="1"/>
      <w:marLeft w:val="0"/>
      <w:marRight w:val="0"/>
      <w:marTop w:val="0"/>
      <w:marBottom w:val="0"/>
      <w:divBdr>
        <w:top w:val="none" w:sz="0" w:space="0" w:color="auto"/>
        <w:left w:val="none" w:sz="0" w:space="0" w:color="auto"/>
        <w:bottom w:val="none" w:sz="0" w:space="0" w:color="auto"/>
        <w:right w:val="none" w:sz="0" w:space="0" w:color="auto"/>
      </w:divBdr>
    </w:div>
    <w:div w:id="815293610">
      <w:bodyDiv w:val="1"/>
      <w:marLeft w:val="0"/>
      <w:marRight w:val="0"/>
      <w:marTop w:val="0"/>
      <w:marBottom w:val="0"/>
      <w:divBdr>
        <w:top w:val="none" w:sz="0" w:space="0" w:color="auto"/>
        <w:left w:val="none" w:sz="0" w:space="0" w:color="auto"/>
        <w:bottom w:val="none" w:sz="0" w:space="0" w:color="auto"/>
        <w:right w:val="none" w:sz="0" w:space="0" w:color="auto"/>
      </w:divBdr>
    </w:div>
    <w:div w:id="979923963">
      <w:bodyDiv w:val="1"/>
      <w:marLeft w:val="0"/>
      <w:marRight w:val="0"/>
      <w:marTop w:val="0"/>
      <w:marBottom w:val="0"/>
      <w:divBdr>
        <w:top w:val="none" w:sz="0" w:space="0" w:color="auto"/>
        <w:left w:val="none" w:sz="0" w:space="0" w:color="auto"/>
        <w:bottom w:val="none" w:sz="0" w:space="0" w:color="auto"/>
        <w:right w:val="none" w:sz="0" w:space="0" w:color="auto"/>
      </w:divBdr>
    </w:div>
    <w:div w:id="1175266197">
      <w:bodyDiv w:val="1"/>
      <w:marLeft w:val="0"/>
      <w:marRight w:val="0"/>
      <w:marTop w:val="0"/>
      <w:marBottom w:val="0"/>
      <w:divBdr>
        <w:top w:val="none" w:sz="0" w:space="0" w:color="auto"/>
        <w:left w:val="none" w:sz="0" w:space="0" w:color="auto"/>
        <w:bottom w:val="none" w:sz="0" w:space="0" w:color="auto"/>
        <w:right w:val="none" w:sz="0" w:space="0" w:color="auto"/>
      </w:divBdr>
    </w:div>
    <w:div w:id="1180851410">
      <w:bodyDiv w:val="1"/>
      <w:marLeft w:val="0"/>
      <w:marRight w:val="0"/>
      <w:marTop w:val="0"/>
      <w:marBottom w:val="0"/>
      <w:divBdr>
        <w:top w:val="none" w:sz="0" w:space="0" w:color="auto"/>
        <w:left w:val="none" w:sz="0" w:space="0" w:color="auto"/>
        <w:bottom w:val="none" w:sz="0" w:space="0" w:color="auto"/>
        <w:right w:val="none" w:sz="0" w:space="0" w:color="auto"/>
      </w:divBdr>
    </w:div>
    <w:div w:id="1685014255">
      <w:bodyDiv w:val="1"/>
      <w:marLeft w:val="0"/>
      <w:marRight w:val="0"/>
      <w:marTop w:val="0"/>
      <w:marBottom w:val="0"/>
      <w:divBdr>
        <w:top w:val="none" w:sz="0" w:space="0" w:color="auto"/>
        <w:left w:val="none" w:sz="0" w:space="0" w:color="auto"/>
        <w:bottom w:val="none" w:sz="0" w:space="0" w:color="auto"/>
        <w:right w:val="none" w:sz="0" w:space="0" w:color="auto"/>
      </w:divBdr>
    </w:div>
    <w:div w:id="1693339897">
      <w:bodyDiv w:val="1"/>
      <w:marLeft w:val="0"/>
      <w:marRight w:val="0"/>
      <w:marTop w:val="0"/>
      <w:marBottom w:val="0"/>
      <w:divBdr>
        <w:top w:val="none" w:sz="0" w:space="0" w:color="auto"/>
        <w:left w:val="none" w:sz="0" w:space="0" w:color="auto"/>
        <w:bottom w:val="none" w:sz="0" w:space="0" w:color="auto"/>
        <w:right w:val="none" w:sz="0" w:space="0" w:color="auto"/>
      </w:divBdr>
    </w:div>
    <w:div w:id="1772318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R@rosinter.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55F53-ECBF-4A10-AEC0-4F97EEC9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1522</Words>
  <Characters>8681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Chirkova Olga</dc:creator>
  <cp:lastModifiedBy>Ивановский Артем Андреевич</cp:lastModifiedBy>
  <cp:revision>16</cp:revision>
  <cp:lastPrinted>2024-08-29T10:36:00Z</cp:lastPrinted>
  <dcterms:created xsi:type="dcterms:W3CDTF">2024-08-29T09:52:00Z</dcterms:created>
  <dcterms:modified xsi:type="dcterms:W3CDTF">2024-09-19T09:10:00Z</dcterms:modified>
</cp:coreProperties>
</file>